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DC8" w:rsidRPr="003A55A1" w:rsidRDefault="00810DC8" w:rsidP="00810DC8">
      <w:pPr>
        <w:jc w:val="both"/>
        <w:rPr>
          <w:rFonts w:ascii="Century Gothic" w:hAnsi="Century Gothic" w:cs="Calibri"/>
          <w:b/>
        </w:rPr>
      </w:pPr>
      <w:r w:rsidRPr="003A55A1">
        <w:rPr>
          <w:rFonts w:ascii="Century Gothic" w:hAnsi="Century Gothic" w:cs="Calibri"/>
          <w:b/>
        </w:rPr>
        <w:t>NOTAS DE GESTIÓN ADMINISTRATIVA</w:t>
      </w:r>
    </w:p>
    <w:p w:rsidR="004C193E" w:rsidRPr="003A55A1" w:rsidRDefault="004C193E" w:rsidP="004C193E">
      <w:pPr>
        <w:jc w:val="both"/>
        <w:rPr>
          <w:rFonts w:ascii="Century Gothic" w:hAnsi="Century Gothic" w:cs="Calibri"/>
          <w:u w:val="single"/>
        </w:rPr>
      </w:pPr>
      <w:r w:rsidRPr="003A55A1">
        <w:rPr>
          <w:rFonts w:ascii="Century Gothic" w:hAnsi="Century Gothic" w:cs="Calibri"/>
          <w:b/>
          <w:u w:val="single"/>
        </w:rPr>
        <w:t>1.- Introducción</w:t>
      </w:r>
      <w:r w:rsidRPr="003A55A1">
        <w:rPr>
          <w:rFonts w:ascii="Century Gothic" w:hAnsi="Century Gothic" w:cs="Calibri"/>
          <w:u w:val="single"/>
        </w:rPr>
        <w:t>:</w:t>
      </w:r>
    </w:p>
    <w:p w:rsidR="00C3624C" w:rsidRPr="003A55A1" w:rsidRDefault="00C3624C" w:rsidP="00C3624C">
      <w:pPr>
        <w:shd w:val="clear" w:color="auto" w:fill="FFFFFF"/>
        <w:spacing w:after="0" w:line="240" w:lineRule="auto"/>
        <w:jc w:val="both"/>
        <w:rPr>
          <w:rFonts w:ascii="Century Gothic" w:hAnsi="Century Gothic" w:cs="Calibri"/>
        </w:rPr>
      </w:pPr>
      <w:r w:rsidRPr="003A55A1">
        <w:rPr>
          <w:rFonts w:ascii="Century Gothic" w:hAnsi="Century Gothic" w:cs="Calibri"/>
        </w:rPr>
        <w:t>Los Estados Financieros de los entes públicos, proveen de información financiera a los principales usuarios de la misma, al Congreso y a los ciudadanos.</w:t>
      </w:r>
    </w:p>
    <w:p w:rsidR="00C3624C" w:rsidRPr="003A55A1" w:rsidRDefault="00C3624C" w:rsidP="00C3624C">
      <w:pPr>
        <w:shd w:val="clear" w:color="auto" w:fill="FFFFFF"/>
        <w:spacing w:after="0" w:line="240" w:lineRule="auto"/>
        <w:jc w:val="both"/>
        <w:rPr>
          <w:rFonts w:ascii="Century Gothic" w:hAnsi="Century Gothic" w:cs="Calibri"/>
        </w:rPr>
      </w:pPr>
    </w:p>
    <w:p w:rsidR="00C3624C" w:rsidRPr="003A55A1" w:rsidRDefault="00C3624C" w:rsidP="00C3624C">
      <w:pPr>
        <w:shd w:val="clear" w:color="auto" w:fill="FFFFFF"/>
        <w:spacing w:after="0" w:line="240" w:lineRule="auto"/>
        <w:jc w:val="both"/>
        <w:rPr>
          <w:rFonts w:ascii="Century Gothic" w:hAnsi="Century Gothic" w:cs="Calibri"/>
        </w:rPr>
      </w:pPr>
      <w:r w:rsidRPr="003A55A1">
        <w:rPr>
          <w:rFonts w:ascii="Century Gothic" w:hAnsi="Century Gothic" w:cs="Calibri"/>
        </w:rPr>
        <w:t>El objetivo del presente documento es la revelación del contexto y de los aspectos económicos-financieros más relevantes que influyeron en las decisiones del período, y que deberán ser considerados en la elaboración de los estados financieros p</w:t>
      </w:r>
      <w:bookmarkStart w:id="0" w:name="_GoBack"/>
      <w:bookmarkEnd w:id="0"/>
      <w:r w:rsidRPr="003A55A1">
        <w:rPr>
          <w:rFonts w:ascii="Century Gothic" w:hAnsi="Century Gothic" w:cs="Calibri"/>
        </w:rPr>
        <w:t>ara la mayor comprensión de los mismos y sus particularidades.</w:t>
      </w:r>
    </w:p>
    <w:p w:rsidR="00C3624C" w:rsidRPr="003A55A1" w:rsidRDefault="00C3624C" w:rsidP="00C3624C">
      <w:pPr>
        <w:shd w:val="clear" w:color="auto" w:fill="FFFFFF"/>
        <w:spacing w:after="0" w:line="240" w:lineRule="auto"/>
        <w:jc w:val="both"/>
        <w:rPr>
          <w:rFonts w:ascii="Century Gothic" w:hAnsi="Century Gothic" w:cs="Calibri"/>
        </w:rPr>
      </w:pPr>
    </w:p>
    <w:p w:rsidR="00C3624C" w:rsidRPr="003A55A1" w:rsidRDefault="00C3624C" w:rsidP="00C3624C">
      <w:pPr>
        <w:shd w:val="clear" w:color="auto" w:fill="FFFFFF"/>
        <w:spacing w:after="0" w:line="240" w:lineRule="auto"/>
        <w:jc w:val="both"/>
        <w:rPr>
          <w:rFonts w:ascii="Century Gothic" w:hAnsi="Century Gothic" w:cs="Calibri"/>
        </w:rPr>
      </w:pPr>
      <w:r w:rsidRPr="003A55A1">
        <w:rPr>
          <w:rFonts w:ascii="Century Gothic" w:hAnsi="Century Gothic" w:cs="Calibri"/>
        </w:rPr>
        <w:t>De esta manera, se informa y explica la respuesta del gobierno a las condiciones relacionadas con la</w:t>
      </w:r>
      <w:r w:rsidR="004C193E" w:rsidRPr="003A55A1">
        <w:rPr>
          <w:rFonts w:ascii="Century Gothic" w:hAnsi="Century Gothic" w:cs="Calibri"/>
        </w:rPr>
        <w:t xml:space="preserve"> </w:t>
      </w:r>
      <w:r w:rsidRPr="003A55A1">
        <w:rPr>
          <w:rFonts w:ascii="Century Gothic" w:hAnsi="Century Gothic" w:cs="Calibri"/>
        </w:rPr>
        <w:t>información financiera de cada período de gestión; además, de exponer aquellas políticas que podrían afectar la toma de deci</w:t>
      </w:r>
      <w:r w:rsidR="004C193E" w:rsidRPr="003A55A1">
        <w:rPr>
          <w:rFonts w:ascii="Century Gothic" w:hAnsi="Century Gothic" w:cs="Calibri"/>
        </w:rPr>
        <w:t>siones en períodos posteriores.</w:t>
      </w:r>
    </w:p>
    <w:p w:rsidR="00C3624C" w:rsidRPr="003A55A1" w:rsidRDefault="00C3624C" w:rsidP="00810DC8">
      <w:pPr>
        <w:jc w:val="both"/>
        <w:rPr>
          <w:rFonts w:ascii="Century Gothic" w:hAnsi="Century Gothic" w:cs="Calibri"/>
          <w:b/>
        </w:rPr>
      </w:pPr>
    </w:p>
    <w:p w:rsidR="00810DC8" w:rsidRPr="003A55A1" w:rsidRDefault="00810DC8" w:rsidP="00810DC8">
      <w:pPr>
        <w:jc w:val="both"/>
        <w:rPr>
          <w:rFonts w:ascii="Century Gothic" w:hAnsi="Century Gothic" w:cs="Calibri"/>
        </w:rPr>
      </w:pPr>
      <w:r w:rsidRPr="003A55A1">
        <w:rPr>
          <w:rFonts w:ascii="Century Gothic" w:hAnsi="Century Gothic" w:cs="Calibri"/>
        </w:rPr>
        <w:t xml:space="preserve">El Patronato de la Feria Estatal de León y Parque Ecológico tiene  como  su  principal  actividad el Promover y Organizar la Feria Estatal de León Gto. , cada año en las fechas que establezca, bien sea anterior o posterior al día en que se conmemora la fundación de la ciudad.  </w:t>
      </w:r>
    </w:p>
    <w:p w:rsidR="00810DC8" w:rsidRPr="003A55A1" w:rsidRDefault="00810DC8" w:rsidP="00810DC8">
      <w:pPr>
        <w:jc w:val="both"/>
        <w:rPr>
          <w:rFonts w:ascii="Century Gothic" w:hAnsi="Century Gothic" w:cs="Calibri"/>
          <w:b/>
          <w:u w:val="single"/>
        </w:rPr>
      </w:pPr>
      <w:r w:rsidRPr="003A55A1">
        <w:rPr>
          <w:rFonts w:ascii="Century Gothic" w:hAnsi="Century Gothic" w:cs="Calibri"/>
          <w:b/>
          <w:u w:val="single"/>
        </w:rPr>
        <w:t>2.- Panorama Económico y Financiero</w:t>
      </w:r>
    </w:p>
    <w:p w:rsidR="00810DC8" w:rsidRPr="003A55A1" w:rsidRDefault="00810DC8" w:rsidP="00810DC8">
      <w:pPr>
        <w:jc w:val="both"/>
        <w:rPr>
          <w:rFonts w:ascii="Century Gothic" w:hAnsi="Century Gothic" w:cs="Calibri"/>
        </w:rPr>
      </w:pPr>
      <w:r w:rsidRPr="003A55A1">
        <w:rPr>
          <w:rFonts w:ascii="Century Gothic" w:hAnsi="Century Gothic" w:cs="Calibri"/>
        </w:rPr>
        <w:t xml:space="preserve">El Patronato de la Feria Estatal de León y Parque Ecológico opera principalmente con ingresos que provienen de actividades propias del organismo generados por su función y que todas ellas tienen como finalidad obtener los recursos que permitan al Patronato ser autofinanciable y cumplir con su objeto. </w:t>
      </w:r>
    </w:p>
    <w:p w:rsidR="00810DC8" w:rsidRPr="003A55A1" w:rsidRDefault="00810DC8" w:rsidP="00810DC8">
      <w:pPr>
        <w:jc w:val="both"/>
        <w:rPr>
          <w:rFonts w:ascii="Century Gothic" w:hAnsi="Century Gothic" w:cs="Calibri"/>
          <w:b/>
          <w:u w:val="single"/>
        </w:rPr>
      </w:pPr>
      <w:r w:rsidRPr="003A55A1">
        <w:rPr>
          <w:rFonts w:ascii="Century Gothic" w:hAnsi="Century Gothic" w:cs="Calibri"/>
          <w:b/>
          <w:u w:val="single"/>
        </w:rPr>
        <w:t>3.- Autorización e Historia</w:t>
      </w:r>
    </w:p>
    <w:p w:rsidR="00810DC8" w:rsidRPr="003A55A1" w:rsidRDefault="00810DC8" w:rsidP="00810DC8">
      <w:pPr>
        <w:jc w:val="both"/>
        <w:rPr>
          <w:rFonts w:ascii="Century Gothic" w:hAnsi="Century Gothic" w:cs="Calibri"/>
        </w:rPr>
      </w:pPr>
      <w:r w:rsidRPr="003A55A1">
        <w:rPr>
          <w:rFonts w:ascii="Century Gothic" w:hAnsi="Century Gothic" w:cs="Calibri"/>
        </w:rPr>
        <w:t xml:space="preserve">a) fecha de creación del ente </w:t>
      </w:r>
    </w:p>
    <w:p w:rsidR="00810DC8" w:rsidRPr="003A55A1" w:rsidRDefault="00810DC8" w:rsidP="00810DC8">
      <w:pPr>
        <w:pStyle w:val="Sinespaciado"/>
        <w:jc w:val="both"/>
        <w:rPr>
          <w:rFonts w:ascii="Century Gothic" w:hAnsi="Century Gothic"/>
        </w:rPr>
      </w:pPr>
    </w:p>
    <w:p w:rsidR="00810DC8" w:rsidRPr="003A55A1" w:rsidRDefault="00810DC8" w:rsidP="00810DC8">
      <w:pPr>
        <w:pStyle w:val="Sinespaciado"/>
        <w:jc w:val="both"/>
        <w:rPr>
          <w:rFonts w:ascii="Century Gothic" w:hAnsi="Century Gothic"/>
        </w:rPr>
      </w:pPr>
      <w:r w:rsidRPr="003A55A1">
        <w:rPr>
          <w:rFonts w:ascii="Century Gothic" w:hAnsi="Century Gothic"/>
        </w:rPr>
        <w:t>Constitución del Patronato.- El Patronato de la Feria Estatal de León y Parque Ecológico (el "Patronato"), es un organismo público descentralizado del Gobierno Municipal de León, creado mediante el decreto gubernativo publicado en el periódico oficial del Gobierno del Estado de Guanajuato el 14 de mayo de 1993.</w:t>
      </w:r>
    </w:p>
    <w:p w:rsidR="00810DC8" w:rsidRPr="003A55A1" w:rsidRDefault="00810DC8" w:rsidP="00810DC8">
      <w:pPr>
        <w:pStyle w:val="Sinespaciado"/>
        <w:jc w:val="both"/>
        <w:rPr>
          <w:rFonts w:ascii="Century Gothic" w:hAnsi="Century Gothic"/>
        </w:rPr>
      </w:pPr>
    </w:p>
    <w:p w:rsidR="00810DC8" w:rsidRPr="003A55A1" w:rsidRDefault="00810DC8" w:rsidP="00810DC8">
      <w:pPr>
        <w:pStyle w:val="Sinespaciado"/>
        <w:jc w:val="both"/>
        <w:rPr>
          <w:rFonts w:ascii="Century Gothic" w:hAnsi="Century Gothic"/>
        </w:rPr>
      </w:pPr>
      <w:r w:rsidRPr="003A55A1">
        <w:rPr>
          <w:rFonts w:ascii="Century Gothic" w:hAnsi="Century Gothic"/>
        </w:rPr>
        <w:t>b).-Principales cambios de su estructura</w:t>
      </w:r>
    </w:p>
    <w:p w:rsidR="00810DC8" w:rsidRPr="003A55A1" w:rsidRDefault="00810DC8" w:rsidP="00810DC8">
      <w:pPr>
        <w:pStyle w:val="Sinespaciado"/>
        <w:jc w:val="both"/>
        <w:rPr>
          <w:rFonts w:ascii="Century Gothic" w:hAnsi="Century Gothic"/>
        </w:rPr>
      </w:pPr>
    </w:p>
    <w:p w:rsidR="00810DC8" w:rsidRPr="003A55A1" w:rsidRDefault="00810DC8" w:rsidP="00810DC8">
      <w:pPr>
        <w:pStyle w:val="Sinespaciado"/>
        <w:jc w:val="both"/>
        <w:rPr>
          <w:rFonts w:ascii="Century Gothic" w:hAnsi="Century Gothic"/>
        </w:rPr>
      </w:pPr>
      <w:r w:rsidRPr="003A55A1">
        <w:rPr>
          <w:rFonts w:ascii="Century Gothic" w:hAnsi="Century Gothic"/>
        </w:rPr>
        <w:t>Su denominación social actual tiene su origen en el decreto gubernativo 140 de fecha del 2 de septiembre de 2003, en este mismo decreto en los artículos transitorios se transfiere a la actual denominación la totalidad de derechos y obligaciones en las que se mencione al Patronato Estatal de León, Museo de Ciencia y Parque Ecológico.</w:t>
      </w:r>
    </w:p>
    <w:p w:rsidR="00810DC8" w:rsidRPr="003A55A1" w:rsidRDefault="00810DC8" w:rsidP="00810DC8">
      <w:pPr>
        <w:pStyle w:val="Sinespaciado"/>
        <w:jc w:val="both"/>
        <w:rPr>
          <w:rFonts w:ascii="Century Gothic" w:hAnsi="Century Gothic"/>
        </w:rPr>
      </w:pPr>
    </w:p>
    <w:p w:rsidR="00810DC8" w:rsidRPr="003A55A1" w:rsidRDefault="00810DC8" w:rsidP="00810DC8">
      <w:pPr>
        <w:pStyle w:val="Sinespaciado"/>
        <w:jc w:val="both"/>
        <w:rPr>
          <w:rFonts w:ascii="Century Gothic" w:hAnsi="Century Gothic"/>
          <w:b/>
          <w:u w:val="single"/>
        </w:rPr>
      </w:pPr>
      <w:r w:rsidRPr="003A55A1">
        <w:rPr>
          <w:rFonts w:ascii="Century Gothic" w:hAnsi="Century Gothic"/>
          <w:b/>
          <w:u w:val="single"/>
        </w:rPr>
        <w:t>4.- Objeto social</w:t>
      </w:r>
    </w:p>
    <w:p w:rsidR="00810DC8" w:rsidRPr="003A55A1" w:rsidRDefault="00810DC8" w:rsidP="00810DC8">
      <w:pPr>
        <w:pStyle w:val="Sinespaciado"/>
        <w:jc w:val="both"/>
        <w:rPr>
          <w:rFonts w:ascii="Century Gothic" w:hAnsi="Century Gothic"/>
        </w:rPr>
      </w:pPr>
    </w:p>
    <w:p w:rsidR="00810DC8" w:rsidRPr="003A55A1" w:rsidRDefault="00810DC8" w:rsidP="00810DC8">
      <w:pPr>
        <w:pStyle w:val="Sinespaciado"/>
        <w:numPr>
          <w:ilvl w:val="0"/>
          <w:numId w:val="1"/>
        </w:numPr>
        <w:jc w:val="both"/>
        <w:rPr>
          <w:rFonts w:ascii="Century Gothic" w:hAnsi="Century Gothic"/>
        </w:rPr>
      </w:pPr>
      <w:r w:rsidRPr="003A55A1">
        <w:rPr>
          <w:rFonts w:ascii="Century Gothic" w:hAnsi="Century Gothic"/>
        </w:rPr>
        <w:t>Objeto social</w:t>
      </w:r>
    </w:p>
    <w:p w:rsidR="00810DC8" w:rsidRPr="003A55A1" w:rsidRDefault="00810DC8" w:rsidP="00810DC8">
      <w:pPr>
        <w:pStyle w:val="Sinespaciado"/>
        <w:jc w:val="both"/>
        <w:rPr>
          <w:rFonts w:ascii="Century Gothic" w:hAnsi="Century Gothic"/>
        </w:rPr>
      </w:pPr>
      <w:r w:rsidRPr="003A55A1">
        <w:rPr>
          <w:rFonts w:ascii="Century Gothic" w:hAnsi="Century Gothic"/>
        </w:rPr>
        <w:t>De conformidad con el artículo segundo del Reglamento del Patronato de la Feria Estatal de León y Parque Ecológico, tiene por objeto, entre otros, los siguientes:</w:t>
      </w:r>
    </w:p>
    <w:p w:rsidR="00810DC8" w:rsidRPr="003A55A1" w:rsidRDefault="00810DC8" w:rsidP="00810DC8">
      <w:pPr>
        <w:pStyle w:val="Sinespaciado"/>
        <w:jc w:val="both"/>
        <w:rPr>
          <w:rFonts w:ascii="Century Gothic" w:hAnsi="Century Gothic"/>
        </w:rPr>
      </w:pPr>
    </w:p>
    <w:p w:rsidR="00810DC8" w:rsidRPr="003A55A1" w:rsidRDefault="00810DC8" w:rsidP="00810DC8">
      <w:pPr>
        <w:pStyle w:val="Sinespaciado"/>
        <w:jc w:val="both"/>
        <w:rPr>
          <w:rFonts w:ascii="Century Gothic" w:hAnsi="Century Gothic"/>
        </w:rPr>
      </w:pPr>
      <w:r w:rsidRPr="003A55A1">
        <w:rPr>
          <w:rFonts w:ascii="Century Gothic" w:hAnsi="Century Gothic"/>
        </w:rPr>
        <w:t>I. Promover y organizar la feria estatal de León, Guanajuato, cada año en las fechas que establezca, anteriores y posteriores al día en que se conmemora la fundación de la ciudad.</w:t>
      </w:r>
    </w:p>
    <w:p w:rsidR="00810DC8" w:rsidRPr="003A55A1" w:rsidRDefault="00810DC8" w:rsidP="00810DC8">
      <w:pPr>
        <w:pStyle w:val="Sinespaciado"/>
        <w:jc w:val="both"/>
        <w:rPr>
          <w:rFonts w:ascii="Century Gothic" w:hAnsi="Century Gothic"/>
        </w:rPr>
      </w:pPr>
    </w:p>
    <w:p w:rsidR="00810DC8" w:rsidRPr="003A55A1" w:rsidRDefault="00810DC8" w:rsidP="00810DC8">
      <w:pPr>
        <w:pStyle w:val="Sinespaciado"/>
        <w:jc w:val="both"/>
        <w:rPr>
          <w:rFonts w:ascii="Century Gothic" w:hAnsi="Century Gothic"/>
        </w:rPr>
      </w:pPr>
      <w:r w:rsidRPr="003A55A1">
        <w:rPr>
          <w:rFonts w:ascii="Century Gothic" w:hAnsi="Century Gothic"/>
        </w:rPr>
        <w:t>II. Promover y organizar ferias, exposiciones, subastas o cualquier tipo de evento, para fomentar la cultura, la ciencia, las artes, la conservación ecológica, la recreación, la industria, el comercio, la actividad agropecuaria y las artesanías del Estado de Guanajuato.</w:t>
      </w:r>
    </w:p>
    <w:p w:rsidR="00810DC8" w:rsidRPr="003A55A1" w:rsidRDefault="00810DC8" w:rsidP="00810DC8">
      <w:pPr>
        <w:pStyle w:val="Sinespaciado"/>
        <w:jc w:val="both"/>
        <w:rPr>
          <w:rFonts w:ascii="Century Gothic" w:hAnsi="Century Gothic"/>
        </w:rPr>
      </w:pPr>
    </w:p>
    <w:p w:rsidR="00810DC8" w:rsidRPr="003A55A1" w:rsidRDefault="00810DC8" w:rsidP="00810DC8">
      <w:pPr>
        <w:pStyle w:val="Sinespaciado"/>
        <w:jc w:val="both"/>
        <w:rPr>
          <w:rFonts w:ascii="Century Gothic" w:hAnsi="Century Gothic"/>
        </w:rPr>
      </w:pPr>
      <w:r w:rsidRPr="003A55A1">
        <w:rPr>
          <w:rFonts w:ascii="Century Gothic" w:hAnsi="Century Gothic"/>
        </w:rPr>
        <w:t>III. Administrar, conservar, ampliar y mejorar de manera permanente las instalaciones y construcciones de los inmuebles conocidos como terrenos de la Feria y del Parque Ecológico, con excepción de los asignados al Patronato de Explora, para el cumplimiento de su objeto.</w:t>
      </w:r>
    </w:p>
    <w:p w:rsidR="00810DC8" w:rsidRPr="003A55A1" w:rsidRDefault="00810DC8" w:rsidP="00810DC8">
      <w:pPr>
        <w:pStyle w:val="Sinespaciado"/>
        <w:jc w:val="both"/>
        <w:rPr>
          <w:rFonts w:ascii="Century Gothic" w:hAnsi="Century Gothic"/>
        </w:rPr>
      </w:pPr>
    </w:p>
    <w:p w:rsidR="00810DC8" w:rsidRPr="003A55A1" w:rsidRDefault="00810DC8" w:rsidP="00810DC8">
      <w:pPr>
        <w:pStyle w:val="Sinespaciado"/>
        <w:jc w:val="both"/>
        <w:rPr>
          <w:rFonts w:ascii="Century Gothic" w:hAnsi="Century Gothic"/>
        </w:rPr>
      </w:pPr>
      <w:r w:rsidRPr="003A55A1">
        <w:rPr>
          <w:rFonts w:ascii="Century Gothic" w:hAnsi="Century Gothic"/>
        </w:rPr>
        <w:t>VI. Realizar la adquisición, arrendamiento y subarrendamiento de toda clase de bienes muebles o inmuebles, derechos reales o personales; así como el registro y explotación de franquicias, patentes, marcas o derechos de autor, que se hagan necesarios para la realización de su objeto.</w:t>
      </w:r>
    </w:p>
    <w:p w:rsidR="00810DC8" w:rsidRPr="003A55A1" w:rsidRDefault="00810DC8" w:rsidP="00810DC8">
      <w:pPr>
        <w:pStyle w:val="Sinespaciado"/>
        <w:jc w:val="both"/>
        <w:rPr>
          <w:rFonts w:ascii="Century Gothic" w:hAnsi="Century Gothic"/>
        </w:rPr>
      </w:pPr>
    </w:p>
    <w:p w:rsidR="00810DC8" w:rsidRPr="003A55A1" w:rsidRDefault="00810DC8" w:rsidP="00810DC8">
      <w:pPr>
        <w:pStyle w:val="Sinespaciado"/>
        <w:jc w:val="both"/>
        <w:rPr>
          <w:rFonts w:ascii="Century Gothic" w:hAnsi="Century Gothic"/>
        </w:rPr>
      </w:pPr>
      <w:r w:rsidRPr="003A55A1">
        <w:rPr>
          <w:rFonts w:ascii="Century Gothic" w:hAnsi="Century Gothic"/>
        </w:rPr>
        <w:t>VII. Aportar recursos económicos al Patronato de Explora para la administración y funcionamiento del Centro de Ciencias y los Centros del Saber, conforme a los montos que anualmente acuerde con dicho Patronato.</w:t>
      </w:r>
    </w:p>
    <w:p w:rsidR="00810DC8" w:rsidRPr="003A55A1" w:rsidRDefault="00810DC8" w:rsidP="00810DC8">
      <w:pPr>
        <w:pStyle w:val="Sinespaciado"/>
        <w:jc w:val="both"/>
        <w:rPr>
          <w:rFonts w:ascii="Century Gothic" w:hAnsi="Century Gothic"/>
        </w:rPr>
      </w:pPr>
    </w:p>
    <w:p w:rsidR="00810DC8" w:rsidRPr="003A55A1" w:rsidRDefault="00810DC8" w:rsidP="00810DC8">
      <w:pPr>
        <w:pStyle w:val="Sinespaciado"/>
        <w:jc w:val="both"/>
        <w:rPr>
          <w:rFonts w:ascii="Century Gothic" w:hAnsi="Century Gothic"/>
        </w:rPr>
      </w:pPr>
      <w:r w:rsidRPr="003A55A1">
        <w:rPr>
          <w:rFonts w:ascii="Century Gothic" w:hAnsi="Century Gothic"/>
        </w:rPr>
        <w:t>XI. Promover el uso de los espacios  de las instalaciones de la Feria y del Parque Ecológico.</w:t>
      </w:r>
    </w:p>
    <w:p w:rsidR="00810DC8" w:rsidRPr="003A55A1" w:rsidRDefault="00810DC8" w:rsidP="00810DC8">
      <w:pPr>
        <w:pStyle w:val="Sinespaciado"/>
        <w:jc w:val="both"/>
        <w:rPr>
          <w:rFonts w:ascii="Century Gothic" w:hAnsi="Century Gothic"/>
        </w:rPr>
      </w:pPr>
    </w:p>
    <w:p w:rsidR="00810DC8" w:rsidRPr="003A55A1" w:rsidRDefault="00810DC8" w:rsidP="00810DC8">
      <w:pPr>
        <w:pStyle w:val="Sinespaciado"/>
        <w:jc w:val="both"/>
        <w:rPr>
          <w:rFonts w:ascii="Century Gothic" w:hAnsi="Century Gothic"/>
        </w:rPr>
      </w:pPr>
      <w:r w:rsidRPr="003A55A1">
        <w:rPr>
          <w:rFonts w:ascii="Century Gothic" w:hAnsi="Century Gothic"/>
        </w:rPr>
        <w:t>XIII. Administrar, proteger,  preservar y, en su caso, acrecentar el patrimonio del organismo.</w:t>
      </w:r>
    </w:p>
    <w:p w:rsidR="00810DC8" w:rsidRPr="003A55A1" w:rsidRDefault="00810DC8" w:rsidP="00810DC8">
      <w:pPr>
        <w:pStyle w:val="Sinespaciado"/>
        <w:jc w:val="both"/>
        <w:rPr>
          <w:rFonts w:ascii="Century Gothic" w:hAnsi="Century Gothic"/>
        </w:rPr>
      </w:pPr>
    </w:p>
    <w:p w:rsidR="00810DC8" w:rsidRPr="003A55A1" w:rsidRDefault="00810DC8" w:rsidP="00810DC8">
      <w:pPr>
        <w:pStyle w:val="Sinespaciado"/>
        <w:jc w:val="both"/>
        <w:rPr>
          <w:rFonts w:ascii="Century Gothic" w:hAnsi="Century Gothic"/>
        </w:rPr>
      </w:pPr>
      <w:r w:rsidRPr="003A55A1">
        <w:rPr>
          <w:rFonts w:ascii="Century Gothic" w:hAnsi="Century Gothic"/>
        </w:rPr>
        <w:t>b) Principal actividad</w:t>
      </w:r>
    </w:p>
    <w:p w:rsidR="00810DC8" w:rsidRPr="003A55A1" w:rsidRDefault="00810DC8" w:rsidP="00810DC8">
      <w:pPr>
        <w:pStyle w:val="Sinespaciado"/>
        <w:jc w:val="both"/>
        <w:rPr>
          <w:rFonts w:ascii="Century Gothic" w:hAnsi="Century Gothic"/>
        </w:rPr>
      </w:pPr>
      <w:r w:rsidRPr="003A55A1">
        <w:rPr>
          <w:rFonts w:ascii="Century Gothic" w:hAnsi="Century Gothic"/>
        </w:rPr>
        <w:t>Promover y Organizar la feria estatal  de León, administrar, conservar, ampliar y mejorar las instalaciones de la Feria y del parque ecológico</w:t>
      </w:r>
    </w:p>
    <w:p w:rsidR="00810DC8" w:rsidRPr="003A55A1" w:rsidRDefault="00810DC8" w:rsidP="00810DC8">
      <w:pPr>
        <w:pStyle w:val="Sinespaciado"/>
        <w:jc w:val="both"/>
        <w:rPr>
          <w:rFonts w:ascii="Century Gothic" w:hAnsi="Century Gothic"/>
        </w:rPr>
      </w:pPr>
    </w:p>
    <w:p w:rsidR="00810DC8" w:rsidRPr="003A55A1" w:rsidRDefault="00810DC8" w:rsidP="00810DC8">
      <w:pPr>
        <w:pStyle w:val="Sinespaciado"/>
        <w:jc w:val="both"/>
        <w:rPr>
          <w:rFonts w:ascii="Century Gothic" w:hAnsi="Century Gothic"/>
        </w:rPr>
      </w:pPr>
      <w:r w:rsidRPr="003A55A1">
        <w:rPr>
          <w:rFonts w:ascii="Century Gothic" w:hAnsi="Century Gothic"/>
        </w:rPr>
        <w:t>c) Ejercicio fiscal</w:t>
      </w:r>
    </w:p>
    <w:p w:rsidR="00810DC8" w:rsidRPr="003A55A1" w:rsidRDefault="00810DC8" w:rsidP="00810DC8">
      <w:pPr>
        <w:pStyle w:val="Sinespaciado"/>
        <w:jc w:val="both"/>
        <w:rPr>
          <w:rFonts w:ascii="Century Gothic" w:hAnsi="Century Gothic"/>
        </w:rPr>
      </w:pPr>
      <w:r w:rsidRPr="003A55A1">
        <w:rPr>
          <w:rFonts w:ascii="Century Gothic" w:hAnsi="Century Gothic"/>
        </w:rPr>
        <w:t>Enero-Diciembre, ejercicio  que  cumple  con  lo  establecido  en  la  Ley  de Contabilidad Gubernamental.</w:t>
      </w:r>
    </w:p>
    <w:p w:rsidR="00810DC8" w:rsidRPr="003A55A1" w:rsidRDefault="00810DC8" w:rsidP="00810DC8">
      <w:pPr>
        <w:pStyle w:val="Sinespaciado"/>
        <w:jc w:val="both"/>
        <w:rPr>
          <w:rFonts w:ascii="Century Gothic" w:hAnsi="Century Gothic"/>
        </w:rPr>
      </w:pPr>
    </w:p>
    <w:p w:rsidR="00810DC8" w:rsidRPr="003A55A1" w:rsidRDefault="00810DC8" w:rsidP="00810DC8">
      <w:pPr>
        <w:pStyle w:val="Sinespaciado"/>
        <w:jc w:val="both"/>
        <w:rPr>
          <w:rFonts w:ascii="Century Gothic" w:hAnsi="Century Gothic"/>
        </w:rPr>
      </w:pPr>
      <w:r w:rsidRPr="003A55A1">
        <w:rPr>
          <w:rFonts w:ascii="Century Gothic" w:hAnsi="Century Gothic"/>
        </w:rPr>
        <w:t>d) Régimen jurídico</w:t>
      </w:r>
    </w:p>
    <w:p w:rsidR="00810DC8" w:rsidRPr="003A55A1" w:rsidRDefault="00810DC8" w:rsidP="00810DC8">
      <w:pPr>
        <w:pStyle w:val="Sinespaciado"/>
        <w:jc w:val="both"/>
        <w:rPr>
          <w:rFonts w:ascii="Century Gothic" w:hAnsi="Century Gothic"/>
        </w:rPr>
      </w:pPr>
      <w:r w:rsidRPr="003A55A1">
        <w:rPr>
          <w:rFonts w:ascii="Century Gothic" w:hAnsi="Century Gothic"/>
        </w:rPr>
        <w:t>Es un Organismo Público descentralizado de la administración municipal de León, Gto. con personalidad jurídica y patrimonio propios legalmente constituido de acuerdo con la legislación mexicana.</w:t>
      </w:r>
    </w:p>
    <w:p w:rsidR="00810DC8" w:rsidRPr="003A55A1" w:rsidRDefault="00810DC8" w:rsidP="00810DC8">
      <w:pPr>
        <w:pStyle w:val="Sinespaciado"/>
        <w:jc w:val="both"/>
        <w:rPr>
          <w:rFonts w:ascii="Century Gothic" w:hAnsi="Century Gothic"/>
        </w:rPr>
      </w:pPr>
    </w:p>
    <w:p w:rsidR="00810DC8" w:rsidRPr="003A55A1" w:rsidRDefault="00810DC8" w:rsidP="00810DC8">
      <w:pPr>
        <w:pStyle w:val="Sinespaciado"/>
        <w:jc w:val="both"/>
        <w:rPr>
          <w:rFonts w:ascii="Century Gothic" w:hAnsi="Century Gothic"/>
        </w:rPr>
      </w:pPr>
      <w:r w:rsidRPr="003A55A1">
        <w:rPr>
          <w:rFonts w:ascii="Century Gothic" w:hAnsi="Century Gothic"/>
        </w:rPr>
        <w:t>e) Consideraciones fiscales del Ente</w:t>
      </w:r>
    </w:p>
    <w:p w:rsidR="00810DC8" w:rsidRPr="003A55A1" w:rsidRDefault="00810DC8" w:rsidP="00810DC8">
      <w:pPr>
        <w:pStyle w:val="Sinespaciado"/>
        <w:jc w:val="both"/>
        <w:rPr>
          <w:rFonts w:ascii="Century Gothic" w:hAnsi="Century Gothic"/>
        </w:rPr>
      </w:pPr>
      <w:r w:rsidRPr="003A55A1">
        <w:rPr>
          <w:rFonts w:ascii="Century Gothic" w:hAnsi="Century Gothic"/>
        </w:rPr>
        <w:lastRenderedPageBreak/>
        <w:t xml:space="preserve">Es una persona moral sin fines de lucro; no contribuyente del impuesto sobre la renta en los términos del título tercero de la ley del ISR, por ser un organismo público descentralizado de la administración municipal, según lo dispuesto en los artículos </w:t>
      </w:r>
      <w:r w:rsidR="004F66BD" w:rsidRPr="003A55A1">
        <w:rPr>
          <w:rFonts w:ascii="Century Gothic" w:hAnsi="Century Gothic"/>
        </w:rPr>
        <w:t>79</w:t>
      </w:r>
      <w:r w:rsidRPr="003A55A1">
        <w:rPr>
          <w:rFonts w:ascii="Century Gothic" w:hAnsi="Century Gothic"/>
        </w:rPr>
        <w:t xml:space="preserve"> y </w:t>
      </w:r>
      <w:r w:rsidR="00586A46" w:rsidRPr="003A55A1">
        <w:rPr>
          <w:rFonts w:ascii="Century Gothic" w:hAnsi="Century Gothic"/>
        </w:rPr>
        <w:t>86</w:t>
      </w:r>
      <w:r w:rsidRPr="003A55A1">
        <w:rPr>
          <w:rFonts w:ascii="Century Gothic" w:hAnsi="Century Gothic"/>
        </w:rPr>
        <w:t xml:space="preserve"> d</w:t>
      </w:r>
      <w:r w:rsidR="00E35A54" w:rsidRPr="003A55A1">
        <w:rPr>
          <w:rFonts w:ascii="Century Gothic" w:hAnsi="Century Gothic"/>
        </w:rPr>
        <w:t xml:space="preserve">e la LISR, conforme al </w:t>
      </w:r>
      <w:r w:rsidR="005F5569" w:rsidRPr="003A55A1">
        <w:rPr>
          <w:rFonts w:ascii="Century Gothic" w:hAnsi="Century Gothic"/>
        </w:rPr>
        <w:t>cual,</w:t>
      </w:r>
      <w:r w:rsidR="00E35A54" w:rsidRPr="003A55A1">
        <w:rPr>
          <w:rFonts w:ascii="Century Gothic" w:hAnsi="Century Gothic"/>
        </w:rPr>
        <w:t xml:space="preserve"> se considera como remanente sujeto al pago de ISR el importe de la erogaciones que </w:t>
      </w:r>
      <w:r w:rsidR="005F5569" w:rsidRPr="003A55A1">
        <w:rPr>
          <w:rFonts w:ascii="Century Gothic" w:hAnsi="Century Gothic"/>
        </w:rPr>
        <w:t>efectúa</w:t>
      </w:r>
      <w:r w:rsidR="00E35A54" w:rsidRPr="003A55A1">
        <w:rPr>
          <w:rFonts w:ascii="Century Gothic" w:hAnsi="Century Gothic"/>
        </w:rPr>
        <w:t xml:space="preserve"> y no reúnen los requisitos fiscales para su </w:t>
      </w:r>
      <w:r w:rsidR="005F5569" w:rsidRPr="003A55A1">
        <w:rPr>
          <w:rFonts w:ascii="Century Gothic" w:hAnsi="Century Gothic"/>
        </w:rPr>
        <w:t>deducibilidad</w:t>
      </w:r>
      <w:r w:rsidR="00E35A54" w:rsidRPr="003A55A1">
        <w:rPr>
          <w:rFonts w:ascii="Century Gothic" w:hAnsi="Century Gothic"/>
        </w:rPr>
        <w:t>.</w:t>
      </w:r>
    </w:p>
    <w:p w:rsidR="00810DC8" w:rsidRPr="003A55A1" w:rsidRDefault="00810DC8" w:rsidP="00810DC8">
      <w:pPr>
        <w:pStyle w:val="Sinespaciado"/>
        <w:jc w:val="both"/>
        <w:rPr>
          <w:rFonts w:ascii="Century Gothic" w:hAnsi="Century Gothic"/>
        </w:rPr>
      </w:pPr>
    </w:p>
    <w:p w:rsidR="00810DC8" w:rsidRPr="003A55A1" w:rsidRDefault="00810DC8" w:rsidP="00810DC8">
      <w:pPr>
        <w:pStyle w:val="Sinespaciado"/>
        <w:jc w:val="both"/>
        <w:rPr>
          <w:rFonts w:ascii="Century Gothic" w:hAnsi="Century Gothic"/>
        </w:rPr>
      </w:pPr>
      <w:r w:rsidRPr="003A55A1">
        <w:rPr>
          <w:rFonts w:ascii="Century Gothic" w:hAnsi="Century Gothic"/>
        </w:rPr>
        <w:t>f) Estructura Organizacional básica - De conformidad con el Reglamento del Patronato de la Feria, la administración del organismo se encontrará integrada de la siguiente manera:</w:t>
      </w:r>
    </w:p>
    <w:p w:rsidR="00810DC8" w:rsidRPr="003A55A1" w:rsidRDefault="00810DC8" w:rsidP="00810DC8">
      <w:pPr>
        <w:pStyle w:val="Sinespaciado"/>
        <w:jc w:val="both"/>
        <w:rPr>
          <w:rFonts w:ascii="Century Gothic" w:hAnsi="Century Gothic"/>
        </w:rPr>
      </w:pPr>
    </w:p>
    <w:p w:rsidR="00810DC8" w:rsidRPr="003A55A1" w:rsidRDefault="00810DC8" w:rsidP="00810DC8">
      <w:pPr>
        <w:pStyle w:val="Sinespaciado"/>
        <w:jc w:val="both"/>
        <w:rPr>
          <w:rFonts w:ascii="Century Gothic" w:hAnsi="Century Gothic"/>
        </w:rPr>
      </w:pPr>
      <w:r w:rsidRPr="003A55A1">
        <w:rPr>
          <w:rFonts w:ascii="Century Gothic" w:hAnsi="Century Gothic"/>
        </w:rPr>
        <w:t xml:space="preserve">1.- Consejo Directivo, integrado por </w:t>
      </w:r>
    </w:p>
    <w:p w:rsidR="00810DC8" w:rsidRPr="003A55A1" w:rsidRDefault="00810DC8" w:rsidP="00810DC8">
      <w:pPr>
        <w:pStyle w:val="Sinespaciado"/>
        <w:jc w:val="both"/>
        <w:rPr>
          <w:rFonts w:ascii="Century Gothic" w:hAnsi="Century Gothic"/>
        </w:rPr>
      </w:pPr>
    </w:p>
    <w:p w:rsidR="00810DC8" w:rsidRPr="003A55A1" w:rsidRDefault="00810DC8" w:rsidP="00810DC8">
      <w:pPr>
        <w:pStyle w:val="Sinespaciado"/>
        <w:jc w:val="both"/>
        <w:rPr>
          <w:rFonts w:ascii="Century Gothic" w:hAnsi="Century Gothic"/>
        </w:rPr>
      </w:pPr>
      <w:r w:rsidRPr="003A55A1">
        <w:rPr>
          <w:rFonts w:ascii="Century Gothic" w:hAnsi="Century Gothic"/>
        </w:rPr>
        <w:t>I.- Un representante del Gobierno del Estado,  propuesto por el C. Gobernador del Estado.</w:t>
      </w:r>
    </w:p>
    <w:p w:rsidR="00810DC8" w:rsidRPr="003A55A1" w:rsidRDefault="00810DC8" w:rsidP="00810DC8">
      <w:pPr>
        <w:pStyle w:val="Sinespaciado"/>
        <w:jc w:val="both"/>
        <w:rPr>
          <w:rFonts w:ascii="Century Gothic" w:hAnsi="Century Gothic"/>
        </w:rPr>
      </w:pPr>
    </w:p>
    <w:p w:rsidR="00810DC8" w:rsidRPr="003A55A1" w:rsidRDefault="00810DC8" w:rsidP="00810DC8">
      <w:pPr>
        <w:pStyle w:val="Sinespaciado"/>
        <w:jc w:val="both"/>
        <w:rPr>
          <w:rFonts w:ascii="Century Gothic" w:hAnsi="Century Gothic"/>
        </w:rPr>
      </w:pPr>
      <w:r w:rsidRPr="003A55A1">
        <w:rPr>
          <w:rFonts w:ascii="Century Gothic" w:hAnsi="Century Gothic"/>
        </w:rPr>
        <w:t>II.- Dos miembros designados por el H. Ayuntamiento de León, Guanajuato, de entre los Síndicos y Regidores en funciones, a propuesta del C. Presidente Municipal.</w:t>
      </w:r>
    </w:p>
    <w:p w:rsidR="00810DC8" w:rsidRPr="003A55A1" w:rsidRDefault="00810DC8" w:rsidP="00810DC8">
      <w:pPr>
        <w:pStyle w:val="Sinespaciado"/>
        <w:jc w:val="both"/>
        <w:rPr>
          <w:rFonts w:ascii="Century Gothic" w:hAnsi="Century Gothic"/>
        </w:rPr>
      </w:pPr>
    </w:p>
    <w:p w:rsidR="00810DC8" w:rsidRPr="003A55A1" w:rsidRDefault="00810DC8" w:rsidP="00810DC8">
      <w:pPr>
        <w:pStyle w:val="Sinespaciado"/>
        <w:jc w:val="both"/>
        <w:rPr>
          <w:rFonts w:ascii="Century Gothic" w:hAnsi="Century Gothic"/>
        </w:rPr>
      </w:pPr>
      <w:r w:rsidRPr="003A55A1">
        <w:rPr>
          <w:rFonts w:ascii="Century Gothic" w:hAnsi="Century Gothic"/>
        </w:rPr>
        <w:t>III.- Cinco representantes del Consejo Coordinador Empresarial de León, Asociación Civil (CCE León), propuestos por acuerdo de sus integrantes legalmente reconocidos.</w:t>
      </w:r>
    </w:p>
    <w:p w:rsidR="00810DC8" w:rsidRPr="003A55A1" w:rsidRDefault="00810DC8" w:rsidP="00810DC8">
      <w:pPr>
        <w:pStyle w:val="Sinespaciado"/>
        <w:jc w:val="both"/>
        <w:rPr>
          <w:rFonts w:ascii="Century Gothic" w:hAnsi="Century Gothic"/>
        </w:rPr>
      </w:pPr>
    </w:p>
    <w:p w:rsidR="00810DC8" w:rsidRPr="003A55A1" w:rsidRDefault="00810DC8" w:rsidP="00810DC8">
      <w:pPr>
        <w:pStyle w:val="Sinespaciado"/>
        <w:jc w:val="both"/>
        <w:rPr>
          <w:rFonts w:ascii="Century Gothic" w:hAnsi="Century Gothic"/>
        </w:rPr>
      </w:pPr>
      <w:r w:rsidRPr="003A55A1">
        <w:rPr>
          <w:rFonts w:ascii="Century Gothic" w:hAnsi="Century Gothic"/>
        </w:rPr>
        <w:t>IV.- Dos representantes de la sociedad civil y Clubes de servicio, propuestos por el Consejo Coordinador de Asociaciones y Clubes de servicio.</w:t>
      </w:r>
    </w:p>
    <w:p w:rsidR="00810DC8" w:rsidRPr="003A55A1" w:rsidRDefault="00810DC8" w:rsidP="00810DC8">
      <w:pPr>
        <w:pStyle w:val="Sinespaciado"/>
        <w:jc w:val="both"/>
        <w:rPr>
          <w:rFonts w:ascii="Century Gothic" w:hAnsi="Century Gothic"/>
        </w:rPr>
      </w:pPr>
    </w:p>
    <w:p w:rsidR="00810DC8" w:rsidRPr="003A55A1" w:rsidRDefault="00810DC8" w:rsidP="00810DC8">
      <w:pPr>
        <w:pStyle w:val="Sinespaciado"/>
        <w:jc w:val="both"/>
        <w:rPr>
          <w:rFonts w:ascii="Century Gothic" w:hAnsi="Century Gothic"/>
        </w:rPr>
      </w:pPr>
      <w:r w:rsidRPr="003A55A1">
        <w:rPr>
          <w:rFonts w:ascii="Century Gothic" w:hAnsi="Century Gothic"/>
        </w:rPr>
        <w:t>V.- Dos representantes de organismos sindicales.</w:t>
      </w:r>
    </w:p>
    <w:p w:rsidR="00810DC8" w:rsidRPr="003A55A1" w:rsidRDefault="00810DC8" w:rsidP="00810DC8">
      <w:pPr>
        <w:pStyle w:val="Sinespaciado"/>
        <w:jc w:val="both"/>
        <w:rPr>
          <w:rFonts w:ascii="Century Gothic" w:hAnsi="Century Gothic"/>
        </w:rPr>
      </w:pPr>
    </w:p>
    <w:p w:rsidR="00810DC8" w:rsidRPr="003A55A1" w:rsidRDefault="00810DC8" w:rsidP="00810DC8">
      <w:pPr>
        <w:pStyle w:val="Sinespaciado"/>
        <w:jc w:val="both"/>
        <w:rPr>
          <w:rFonts w:ascii="Century Gothic" w:hAnsi="Century Gothic"/>
        </w:rPr>
      </w:pPr>
      <w:r w:rsidRPr="003A55A1">
        <w:rPr>
          <w:rFonts w:ascii="Century Gothic" w:hAnsi="Century Gothic"/>
        </w:rPr>
        <w:t>El H. ayuntamiento podrá autorizar la incorporación de vocales al consejo designados por instituciones u organizaciones sociales no previstas en las fracciones anteriores, cuando a su juicio, sea necesario para el mejor desempeño de las funciones del organismo.</w:t>
      </w:r>
    </w:p>
    <w:p w:rsidR="00810DC8" w:rsidRPr="003A55A1" w:rsidRDefault="00810DC8" w:rsidP="00810DC8">
      <w:pPr>
        <w:pStyle w:val="Sinespaciado"/>
        <w:jc w:val="both"/>
        <w:rPr>
          <w:rFonts w:ascii="Century Gothic" w:hAnsi="Century Gothic"/>
        </w:rPr>
      </w:pPr>
      <w:r w:rsidRPr="003A55A1">
        <w:rPr>
          <w:rFonts w:ascii="Century Gothic" w:hAnsi="Century Gothic"/>
        </w:rPr>
        <w:t>Por cada consejero propietario se deberá proponer un suplente que cubrirá sus ausencias.</w:t>
      </w:r>
    </w:p>
    <w:p w:rsidR="00810DC8" w:rsidRPr="003A55A1" w:rsidRDefault="00810DC8" w:rsidP="00810DC8">
      <w:pPr>
        <w:pStyle w:val="Sinespaciado"/>
        <w:jc w:val="both"/>
        <w:rPr>
          <w:rFonts w:ascii="Century Gothic" w:hAnsi="Century Gothic"/>
        </w:rPr>
      </w:pPr>
      <w:r w:rsidRPr="003A55A1">
        <w:rPr>
          <w:rFonts w:ascii="Century Gothic" w:hAnsi="Century Gothic"/>
        </w:rPr>
        <w:t xml:space="preserve">Los cargos de consejeros serán honoríficos y personales y sus titulares no recibirán retribución económica por el desempeño de sus funciones y durarán en </w:t>
      </w:r>
      <w:r w:rsidR="00497CED" w:rsidRPr="003A55A1">
        <w:rPr>
          <w:rFonts w:ascii="Century Gothic" w:hAnsi="Century Gothic"/>
        </w:rPr>
        <w:t>los mismos</w:t>
      </w:r>
      <w:r w:rsidRPr="003A55A1">
        <w:rPr>
          <w:rFonts w:ascii="Century Gothic" w:hAnsi="Century Gothic"/>
        </w:rPr>
        <w:t xml:space="preserve"> tres años, pudiendo ser reelectos por una sola vez. </w:t>
      </w:r>
    </w:p>
    <w:p w:rsidR="00810DC8" w:rsidRPr="003A55A1" w:rsidRDefault="00810DC8" w:rsidP="00810DC8">
      <w:pPr>
        <w:pStyle w:val="Sinespaciado"/>
        <w:jc w:val="both"/>
        <w:rPr>
          <w:rFonts w:ascii="Century Gothic" w:hAnsi="Century Gothic"/>
        </w:rPr>
      </w:pPr>
    </w:p>
    <w:p w:rsidR="00810DC8" w:rsidRPr="003A55A1" w:rsidRDefault="00810DC8" w:rsidP="00810DC8">
      <w:pPr>
        <w:pStyle w:val="Sinespaciado"/>
        <w:jc w:val="both"/>
        <w:rPr>
          <w:rFonts w:ascii="Century Gothic" w:hAnsi="Century Gothic"/>
        </w:rPr>
      </w:pPr>
    </w:p>
    <w:p w:rsidR="00810DC8" w:rsidRPr="003A55A1" w:rsidRDefault="00810DC8" w:rsidP="00810DC8">
      <w:pPr>
        <w:pStyle w:val="Sinespaciado"/>
        <w:jc w:val="both"/>
        <w:rPr>
          <w:rFonts w:ascii="Century Gothic" w:hAnsi="Century Gothic"/>
        </w:rPr>
      </w:pPr>
      <w:r w:rsidRPr="003A55A1">
        <w:rPr>
          <w:rFonts w:ascii="Century Gothic" w:hAnsi="Century Gothic"/>
        </w:rPr>
        <w:t>2.- Un Director General, designado por el Consejo Directivo a propuesta del Presidente del Consejo, con el objeto de encargarse de la administración interna del Patronato.</w:t>
      </w:r>
    </w:p>
    <w:p w:rsidR="00810DC8" w:rsidRPr="003A55A1" w:rsidRDefault="00810DC8" w:rsidP="00810DC8">
      <w:pPr>
        <w:pStyle w:val="Sinespaciado"/>
        <w:jc w:val="both"/>
        <w:rPr>
          <w:rFonts w:ascii="Century Gothic" w:hAnsi="Century Gothic"/>
        </w:rPr>
      </w:pPr>
    </w:p>
    <w:p w:rsidR="004F66BD" w:rsidRPr="003A55A1" w:rsidRDefault="004F66BD" w:rsidP="00810DC8">
      <w:pPr>
        <w:pStyle w:val="Sinespaciado"/>
        <w:jc w:val="both"/>
        <w:rPr>
          <w:rFonts w:ascii="Century Gothic" w:hAnsi="Century Gothic"/>
        </w:rPr>
      </w:pPr>
    </w:p>
    <w:p w:rsidR="004F66BD" w:rsidRPr="003A55A1" w:rsidRDefault="004F66BD" w:rsidP="00810DC8">
      <w:pPr>
        <w:pStyle w:val="Sinespaciado"/>
        <w:jc w:val="both"/>
        <w:rPr>
          <w:rFonts w:ascii="Century Gothic" w:hAnsi="Century Gothic"/>
        </w:rPr>
      </w:pPr>
    </w:p>
    <w:p w:rsidR="00810DC8" w:rsidRPr="003A55A1" w:rsidRDefault="00810DC8" w:rsidP="00810DC8">
      <w:pPr>
        <w:pStyle w:val="Sinespaciado"/>
        <w:jc w:val="both"/>
        <w:rPr>
          <w:rFonts w:ascii="Century Gothic" w:hAnsi="Century Gothic"/>
          <w:b/>
          <w:u w:val="single"/>
        </w:rPr>
      </w:pPr>
      <w:r w:rsidRPr="003A55A1">
        <w:rPr>
          <w:rFonts w:ascii="Century Gothic" w:hAnsi="Century Gothic"/>
          <w:b/>
          <w:u w:val="single"/>
        </w:rPr>
        <w:t>5.- Bases de preparación de  los estados financieros:</w:t>
      </w:r>
    </w:p>
    <w:p w:rsidR="00810DC8" w:rsidRPr="003A55A1" w:rsidRDefault="00810DC8" w:rsidP="00810DC8">
      <w:pPr>
        <w:pStyle w:val="Sinespaciado"/>
        <w:jc w:val="both"/>
        <w:rPr>
          <w:rFonts w:ascii="Century Gothic" w:hAnsi="Century Gothic"/>
        </w:rPr>
      </w:pPr>
    </w:p>
    <w:p w:rsidR="003C7F9F" w:rsidRPr="003A55A1" w:rsidRDefault="007D7913" w:rsidP="00810DC8">
      <w:pPr>
        <w:pStyle w:val="Sinespaciado"/>
        <w:jc w:val="both"/>
        <w:rPr>
          <w:rFonts w:ascii="Century Gothic" w:hAnsi="Century Gothic"/>
          <w:b/>
        </w:rPr>
      </w:pPr>
      <w:r w:rsidRPr="003A55A1">
        <w:rPr>
          <w:rFonts w:ascii="Century Gothic" w:hAnsi="Century Gothic"/>
          <w:b/>
        </w:rPr>
        <w:t>a).-</w:t>
      </w:r>
      <w:r w:rsidR="003C7F9F" w:rsidRPr="003A55A1">
        <w:rPr>
          <w:rFonts w:ascii="Century Gothic" w:hAnsi="Century Gothic"/>
          <w:b/>
        </w:rPr>
        <w:t xml:space="preserve"> Normatividad emitida  por  CONAC y disposiciones legales.</w:t>
      </w:r>
    </w:p>
    <w:p w:rsidR="003C7F9F" w:rsidRPr="003A55A1" w:rsidRDefault="003C7F9F" w:rsidP="00810DC8">
      <w:pPr>
        <w:pStyle w:val="Sinespaciado"/>
        <w:jc w:val="both"/>
        <w:rPr>
          <w:rFonts w:ascii="Century Gothic" w:hAnsi="Century Gothic"/>
        </w:rPr>
      </w:pPr>
    </w:p>
    <w:p w:rsidR="00810DC8" w:rsidRPr="003A55A1" w:rsidRDefault="008D15A3" w:rsidP="00810DC8">
      <w:pPr>
        <w:pStyle w:val="Sinespaciado"/>
        <w:jc w:val="both"/>
        <w:rPr>
          <w:rFonts w:ascii="Century Gothic" w:hAnsi="Century Gothic"/>
        </w:rPr>
      </w:pPr>
      <w:r w:rsidRPr="003A55A1">
        <w:rPr>
          <w:rFonts w:ascii="Century Gothic" w:hAnsi="Century Gothic"/>
        </w:rPr>
        <w:lastRenderedPageBreak/>
        <w:t>El Patronato ha adoptado los lineamientos vigentes que se derivan de la Ley General de Contabilidad Gubernamental (LGCG) y normas reglamentarias emitidas a través de acuerdos del Consejo Nacional de Armonización Contable (CONAC).</w:t>
      </w:r>
    </w:p>
    <w:p w:rsidR="00810DC8" w:rsidRPr="003A55A1" w:rsidRDefault="00810DC8" w:rsidP="00810DC8">
      <w:pPr>
        <w:pStyle w:val="Sinespaciado"/>
        <w:jc w:val="both"/>
        <w:rPr>
          <w:rFonts w:ascii="Century Gothic" w:hAnsi="Century Gothic"/>
        </w:rPr>
      </w:pPr>
    </w:p>
    <w:p w:rsidR="003C7F9F" w:rsidRPr="003A55A1" w:rsidRDefault="007D7913" w:rsidP="00810DC8">
      <w:pPr>
        <w:pStyle w:val="Sinespaciado"/>
        <w:jc w:val="both"/>
        <w:rPr>
          <w:rFonts w:ascii="Century Gothic" w:hAnsi="Century Gothic"/>
        </w:rPr>
      </w:pPr>
      <w:r w:rsidRPr="003A55A1">
        <w:rPr>
          <w:rFonts w:ascii="Century Gothic" w:hAnsi="Century Gothic"/>
          <w:b/>
        </w:rPr>
        <w:t>b).-</w:t>
      </w:r>
      <w:r w:rsidR="00810DC8" w:rsidRPr="003A55A1">
        <w:rPr>
          <w:rFonts w:ascii="Century Gothic" w:hAnsi="Century Gothic"/>
          <w:b/>
        </w:rPr>
        <w:t xml:space="preserve"> </w:t>
      </w:r>
      <w:r w:rsidR="003C7F9F" w:rsidRPr="003A55A1">
        <w:rPr>
          <w:rFonts w:ascii="Century Gothic" w:hAnsi="Century Gothic"/>
          <w:b/>
        </w:rPr>
        <w:t>La normatividad aplicada para el reconocimiento, valuación y revelación de los diferentes rubros de la información financiera, así como las bases de medición utilizadas para la elaboración de los estados financieros</w:t>
      </w:r>
      <w:r w:rsidR="003C7F9F" w:rsidRPr="003A55A1">
        <w:rPr>
          <w:rFonts w:ascii="Century Gothic" w:hAnsi="Century Gothic"/>
        </w:rPr>
        <w:t xml:space="preserve">; </w:t>
      </w:r>
    </w:p>
    <w:p w:rsidR="003C7F9F" w:rsidRPr="003A55A1" w:rsidRDefault="003C7F9F" w:rsidP="00810DC8">
      <w:pPr>
        <w:pStyle w:val="Sinespaciado"/>
        <w:jc w:val="both"/>
        <w:rPr>
          <w:rFonts w:ascii="Century Gothic" w:hAnsi="Century Gothic"/>
        </w:rPr>
      </w:pPr>
    </w:p>
    <w:p w:rsidR="003C7F9F" w:rsidRPr="003A55A1" w:rsidRDefault="003C7F9F" w:rsidP="00F1027B">
      <w:pPr>
        <w:pStyle w:val="Sinespaciado"/>
        <w:jc w:val="both"/>
        <w:rPr>
          <w:rFonts w:ascii="Century Gothic" w:hAnsi="Century Gothic"/>
        </w:rPr>
      </w:pPr>
    </w:p>
    <w:p w:rsidR="003C7F9F" w:rsidRPr="003A55A1" w:rsidRDefault="003C7F9F" w:rsidP="003C7F9F">
      <w:pPr>
        <w:pStyle w:val="Sinespaciado"/>
        <w:jc w:val="both"/>
        <w:rPr>
          <w:rFonts w:ascii="Century Gothic" w:hAnsi="Century Gothic"/>
        </w:rPr>
      </w:pPr>
    </w:p>
    <w:p w:rsidR="003C7F9F" w:rsidRPr="003A55A1" w:rsidRDefault="003C7F9F" w:rsidP="003C7F9F">
      <w:pPr>
        <w:pStyle w:val="Sinespaciado"/>
        <w:jc w:val="both"/>
        <w:rPr>
          <w:rFonts w:ascii="Century Gothic" w:hAnsi="Century Gothic"/>
        </w:rPr>
      </w:pPr>
    </w:p>
    <w:p w:rsidR="003C7F9F" w:rsidRPr="003A55A1" w:rsidRDefault="003C7F9F" w:rsidP="003C7F9F">
      <w:pPr>
        <w:pStyle w:val="Sinespaciado"/>
        <w:jc w:val="both"/>
        <w:rPr>
          <w:rFonts w:ascii="Century Gothic" w:hAnsi="Century Gothic"/>
        </w:rPr>
      </w:pPr>
      <w:r w:rsidRPr="003A55A1">
        <w:rPr>
          <w:rFonts w:ascii="Century Gothic" w:hAnsi="Century Gothic"/>
        </w:rPr>
        <w:t>i.</w:t>
      </w:r>
      <w:r w:rsidRPr="003A55A1">
        <w:rPr>
          <w:rFonts w:ascii="Century Gothic" w:hAnsi="Century Gothic"/>
        </w:rPr>
        <w:tab/>
        <w:t>Valuación de los estados financieros – Para la integración de los estados financieros, el Patronato acogiéndose al derecho de decidir el método de costo bajo la cual serán valuadas sus operaciones ha decidido utilizar el costo histórico.</w:t>
      </w:r>
    </w:p>
    <w:p w:rsidR="003C7F9F" w:rsidRPr="003A55A1" w:rsidRDefault="003C7F9F" w:rsidP="003C7F9F">
      <w:pPr>
        <w:pStyle w:val="Sinespaciado"/>
        <w:jc w:val="both"/>
        <w:rPr>
          <w:rFonts w:ascii="Century Gothic" w:hAnsi="Century Gothic"/>
        </w:rPr>
      </w:pPr>
    </w:p>
    <w:p w:rsidR="003C7F9F" w:rsidRPr="003A55A1" w:rsidRDefault="003C7F9F" w:rsidP="003C7F9F">
      <w:pPr>
        <w:pStyle w:val="Sinespaciado"/>
        <w:jc w:val="both"/>
        <w:rPr>
          <w:rFonts w:ascii="Century Gothic" w:hAnsi="Century Gothic"/>
        </w:rPr>
      </w:pPr>
      <w:r w:rsidRPr="003A55A1">
        <w:rPr>
          <w:rFonts w:ascii="Century Gothic" w:hAnsi="Century Gothic"/>
        </w:rPr>
        <w:t>ii.</w:t>
      </w:r>
      <w:r w:rsidRPr="003A55A1">
        <w:rPr>
          <w:rFonts w:ascii="Century Gothic" w:hAnsi="Century Gothic"/>
        </w:rPr>
        <w:tab/>
        <w:t>Efectivo y equivalentes de efectivo – Representa el valor del efectivo en moneda nacional o extranjera a nombre del Patronato.</w:t>
      </w:r>
    </w:p>
    <w:p w:rsidR="003C7F9F" w:rsidRPr="003A55A1" w:rsidRDefault="003C7F9F" w:rsidP="003C7F9F">
      <w:pPr>
        <w:pStyle w:val="Sinespaciado"/>
        <w:jc w:val="both"/>
        <w:rPr>
          <w:rFonts w:ascii="Century Gothic" w:hAnsi="Century Gothic"/>
        </w:rPr>
      </w:pPr>
    </w:p>
    <w:p w:rsidR="003C7F9F" w:rsidRPr="003A55A1" w:rsidRDefault="003C7F9F" w:rsidP="003C7F9F">
      <w:pPr>
        <w:pStyle w:val="Sinespaciado"/>
        <w:jc w:val="both"/>
        <w:rPr>
          <w:rFonts w:ascii="Century Gothic" w:hAnsi="Century Gothic"/>
        </w:rPr>
      </w:pPr>
      <w:r w:rsidRPr="003A55A1">
        <w:rPr>
          <w:rFonts w:ascii="Century Gothic" w:hAnsi="Century Gothic"/>
        </w:rPr>
        <w:t>iii.</w:t>
      </w:r>
      <w:r w:rsidRPr="003A55A1">
        <w:rPr>
          <w:rFonts w:ascii="Century Gothic" w:hAnsi="Century Gothic"/>
        </w:rPr>
        <w:tab/>
        <w:t>Derechos a recibir efectivo o equivalentes – Representan los derechos de cobro originados en el desarrollo de las actividades del ente público, de los cuales se espera recibir una contraprestación representada en recursos, bienes o servicios; en un plazo menor o igual a doce meses.</w:t>
      </w:r>
    </w:p>
    <w:p w:rsidR="003C7F9F" w:rsidRPr="003A55A1" w:rsidRDefault="003C7F9F" w:rsidP="003C7F9F">
      <w:pPr>
        <w:pStyle w:val="Sinespaciado"/>
        <w:jc w:val="both"/>
        <w:rPr>
          <w:rFonts w:ascii="Century Gothic" w:hAnsi="Century Gothic"/>
        </w:rPr>
      </w:pPr>
    </w:p>
    <w:p w:rsidR="003C7F9F" w:rsidRPr="003A55A1" w:rsidRDefault="003C7F9F" w:rsidP="003C7F9F">
      <w:pPr>
        <w:pStyle w:val="Sinespaciado"/>
        <w:jc w:val="both"/>
        <w:rPr>
          <w:rFonts w:ascii="Century Gothic" w:hAnsi="Century Gothic"/>
        </w:rPr>
      </w:pPr>
      <w:r w:rsidRPr="003A55A1">
        <w:rPr>
          <w:rFonts w:ascii="Century Gothic" w:hAnsi="Century Gothic"/>
        </w:rPr>
        <w:t>iv.</w:t>
      </w:r>
      <w:r w:rsidRPr="003A55A1">
        <w:rPr>
          <w:rFonts w:ascii="Century Gothic" w:hAnsi="Century Gothic"/>
        </w:rPr>
        <w:tab/>
        <w:t>Derechos a recibir bienes o servicios – Representa los anticipos entregados previo a la recepción parcial o total de bienes o prestación de servicios, que serán exigibles en un plazo menor o igual a doce meses.</w:t>
      </w:r>
    </w:p>
    <w:p w:rsidR="003C7F9F" w:rsidRPr="003A55A1" w:rsidRDefault="003C7F9F" w:rsidP="003C7F9F">
      <w:pPr>
        <w:pStyle w:val="Sinespaciado"/>
        <w:jc w:val="both"/>
        <w:rPr>
          <w:rFonts w:ascii="Century Gothic" w:hAnsi="Century Gothic"/>
        </w:rPr>
      </w:pPr>
    </w:p>
    <w:p w:rsidR="003C7F9F" w:rsidRPr="003A55A1" w:rsidRDefault="003C7F9F" w:rsidP="003C7F9F">
      <w:pPr>
        <w:pStyle w:val="Sinespaciado"/>
        <w:jc w:val="both"/>
        <w:rPr>
          <w:rFonts w:ascii="Century Gothic" w:hAnsi="Century Gothic"/>
        </w:rPr>
      </w:pPr>
      <w:r w:rsidRPr="003A55A1">
        <w:rPr>
          <w:rFonts w:ascii="Century Gothic" w:hAnsi="Century Gothic"/>
        </w:rPr>
        <w:t>v.</w:t>
      </w:r>
      <w:r w:rsidRPr="003A55A1">
        <w:rPr>
          <w:rFonts w:ascii="Century Gothic" w:hAnsi="Century Gothic"/>
        </w:rPr>
        <w:tab/>
        <w:t>Inversiones financieras a largo plazo – Representa el monto de los recursos excedentes del ente público, invertidos en títulos, valores y demás instrumentos financieros, cuya recuperación se efectuará en un plazo mayor a doce meses.</w:t>
      </w:r>
    </w:p>
    <w:p w:rsidR="003C7F9F" w:rsidRPr="003A55A1" w:rsidRDefault="003C7F9F" w:rsidP="003C7F9F">
      <w:pPr>
        <w:pStyle w:val="Sinespaciado"/>
        <w:jc w:val="both"/>
        <w:rPr>
          <w:rFonts w:ascii="Century Gothic" w:hAnsi="Century Gothic"/>
        </w:rPr>
      </w:pPr>
    </w:p>
    <w:p w:rsidR="003C7F9F" w:rsidRPr="003A55A1" w:rsidRDefault="003C7F9F" w:rsidP="003C7F9F">
      <w:pPr>
        <w:pStyle w:val="Sinespaciado"/>
        <w:jc w:val="both"/>
        <w:rPr>
          <w:rFonts w:ascii="Century Gothic" w:hAnsi="Century Gothic"/>
        </w:rPr>
      </w:pPr>
      <w:r w:rsidRPr="003A55A1">
        <w:rPr>
          <w:rFonts w:ascii="Century Gothic" w:hAnsi="Century Gothic"/>
        </w:rPr>
        <w:t>vi.</w:t>
      </w:r>
      <w:r w:rsidRPr="003A55A1">
        <w:rPr>
          <w:rFonts w:ascii="Century Gothic" w:hAnsi="Century Gothic"/>
        </w:rPr>
        <w:tab/>
        <w:t>Bienes inmuebles, Infraestructura y construcciones en proceso – Representa el monto de todo tipo de bienes inmuebles, infraestructura y construcciones; así como los gastos derivados de actos de su adquisición, adjudicación, expropiación e indemnización y los que se generen por estudios de pre inversión, cuando se realicen por causas de interés público.</w:t>
      </w:r>
    </w:p>
    <w:p w:rsidR="003C7F9F" w:rsidRPr="003A55A1" w:rsidRDefault="003C7F9F" w:rsidP="003C7F9F">
      <w:pPr>
        <w:pStyle w:val="Sinespaciado"/>
        <w:jc w:val="both"/>
        <w:rPr>
          <w:rFonts w:ascii="Century Gothic" w:hAnsi="Century Gothic"/>
        </w:rPr>
      </w:pPr>
    </w:p>
    <w:p w:rsidR="003C7F9F" w:rsidRPr="003A55A1" w:rsidRDefault="003C7F9F" w:rsidP="003C7F9F">
      <w:pPr>
        <w:pStyle w:val="Sinespaciado"/>
        <w:jc w:val="both"/>
        <w:rPr>
          <w:rFonts w:ascii="Century Gothic" w:hAnsi="Century Gothic"/>
        </w:rPr>
      </w:pPr>
      <w:r w:rsidRPr="003A55A1">
        <w:rPr>
          <w:rFonts w:ascii="Century Gothic" w:hAnsi="Century Gothic"/>
        </w:rPr>
        <w:t>vii.</w:t>
      </w:r>
      <w:r w:rsidRPr="003A55A1">
        <w:rPr>
          <w:rFonts w:ascii="Century Gothic" w:hAnsi="Century Gothic"/>
        </w:rPr>
        <w:tab/>
        <w:t>El Patronato</w:t>
      </w:r>
      <w:r w:rsidR="00DB21B4" w:rsidRPr="003A55A1">
        <w:rPr>
          <w:rFonts w:ascii="Century Gothic" w:hAnsi="Century Gothic"/>
        </w:rPr>
        <w:t xml:space="preserve"> solicitará</w:t>
      </w:r>
      <w:r w:rsidR="001F1812" w:rsidRPr="003A55A1">
        <w:rPr>
          <w:rFonts w:ascii="Century Gothic" w:hAnsi="Century Gothic"/>
        </w:rPr>
        <w:t xml:space="preserve"> al Ayuntamiento el  valor  catastral de  los terrenos  que son propiedad  de dicho ayuntamiento  con  la  finalidad  de registrar   dicho valor  catastral   en cuentas  de orden.</w:t>
      </w:r>
      <w:r w:rsidRPr="003A55A1">
        <w:rPr>
          <w:rFonts w:ascii="Century Gothic" w:hAnsi="Century Gothic"/>
        </w:rPr>
        <w:t xml:space="preserve"> </w:t>
      </w:r>
    </w:p>
    <w:p w:rsidR="003C7F9F" w:rsidRPr="003A55A1" w:rsidRDefault="003C7F9F" w:rsidP="003C7F9F">
      <w:pPr>
        <w:pStyle w:val="Sinespaciado"/>
        <w:jc w:val="both"/>
        <w:rPr>
          <w:rFonts w:ascii="Century Gothic" w:hAnsi="Century Gothic"/>
        </w:rPr>
      </w:pPr>
    </w:p>
    <w:p w:rsidR="003C7F9F" w:rsidRPr="003A55A1" w:rsidRDefault="001F1812" w:rsidP="003C7F9F">
      <w:pPr>
        <w:pStyle w:val="Sinespaciado"/>
        <w:jc w:val="both"/>
        <w:rPr>
          <w:rFonts w:ascii="Century Gothic" w:hAnsi="Century Gothic"/>
        </w:rPr>
      </w:pPr>
      <w:r w:rsidRPr="003A55A1">
        <w:rPr>
          <w:rFonts w:ascii="Century Gothic" w:hAnsi="Century Gothic"/>
        </w:rPr>
        <w:t>viii</w:t>
      </w:r>
      <w:r w:rsidR="003C7F9F" w:rsidRPr="003A55A1">
        <w:rPr>
          <w:rFonts w:ascii="Century Gothic" w:hAnsi="Century Gothic"/>
        </w:rPr>
        <w:t>.</w:t>
      </w:r>
      <w:r w:rsidR="003C7F9F" w:rsidRPr="003A55A1">
        <w:rPr>
          <w:rFonts w:ascii="Century Gothic" w:hAnsi="Century Gothic"/>
        </w:rPr>
        <w:tab/>
        <w:t>Bienes muebles – Representa el monto de los bienes muebles propiedad del Patronato.</w:t>
      </w:r>
    </w:p>
    <w:p w:rsidR="003C7F9F" w:rsidRPr="003A55A1" w:rsidRDefault="003C7F9F" w:rsidP="003C7F9F">
      <w:pPr>
        <w:pStyle w:val="Sinespaciado"/>
        <w:jc w:val="both"/>
        <w:rPr>
          <w:rFonts w:ascii="Century Gothic" w:hAnsi="Century Gothic"/>
        </w:rPr>
      </w:pPr>
    </w:p>
    <w:p w:rsidR="003C7F9F" w:rsidRPr="003A55A1" w:rsidRDefault="001F1812" w:rsidP="003C7F9F">
      <w:pPr>
        <w:pStyle w:val="Sinespaciado"/>
        <w:jc w:val="both"/>
        <w:rPr>
          <w:rFonts w:ascii="Century Gothic" w:hAnsi="Century Gothic"/>
        </w:rPr>
      </w:pPr>
      <w:r w:rsidRPr="003A55A1">
        <w:rPr>
          <w:rFonts w:ascii="Century Gothic" w:hAnsi="Century Gothic"/>
        </w:rPr>
        <w:t>i</w:t>
      </w:r>
      <w:r w:rsidR="003C7F9F" w:rsidRPr="003A55A1">
        <w:rPr>
          <w:rFonts w:ascii="Century Gothic" w:hAnsi="Century Gothic"/>
        </w:rPr>
        <w:t>x.</w:t>
      </w:r>
      <w:r w:rsidR="003C7F9F" w:rsidRPr="003A55A1">
        <w:rPr>
          <w:rFonts w:ascii="Century Gothic" w:hAnsi="Century Gothic"/>
        </w:rPr>
        <w:tab/>
        <w:t>Cuentas por pagar a corto plazo – Representa el monto de los adeudos del ente público, que deberá pagar en un plazo menor o igual a doce meses, se integra principalmente por retenciones y contribuciones por pagar a corto plazo.</w:t>
      </w:r>
    </w:p>
    <w:p w:rsidR="003C7F9F" w:rsidRPr="003A55A1" w:rsidRDefault="003C7F9F" w:rsidP="003C7F9F">
      <w:pPr>
        <w:pStyle w:val="Sinespaciado"/>
        <w:jc w:val="both"/>
        <w:rPr>
          <w:rFonts w:ascii="Century Gothic" w:hAnsi="Century Gothic"/>
        </w:rPr>
      </w:pPr>
    </w:p>
    <w:p w:rsidR="003C7F9F" w:rsidRPr="003A55A1" w:rsidRDefault="003C7F9F" w:rsidP="003C7F9F">
      <w:pPr>
        <w:pStyle w:val="Sinespaciado"/>
        <w:jc w:val="both"/>
        <w:rPr>
          <w:rFonts w:ascii="Century Gothic" w:hAnsi="Century Gothic"/>
        </w:rPr>
      </w:pPr>
      <w:r w:rsidRPr="003A55A1">
        <w:rPr>
          <w:rFonts w:ascii="Century Gothic" w:hAnsi="Century Gothic"/>
        </w:rPr>
        <w:t>x.</w:t>
      </w:r>
      <w:r w:rsidRPr="003A55A1">
        <w:rPr>
          <w:rFonts w:ascii="Century Gothic" w:hAnsi="Century Gothic"/>
        </w:rPr>
        <w:tab/>
        <w:t>Servicios personales por pagar a corto plazo – Representa los adeudos por las remuneraciones del personal al servicio del Patronato, de carácter permanente o transitorio, que deberá pagar en un plazo menor o igual a doce meses.</w:t>
      </w:r>
    </w:p>
    <w:p w:rsidR="003C7F9F" w:rsidRPr="003A55A1" w:rsidRDefault="003C7F9F" w:rsidP="003C7F9F">
      <w:pPr>
        <w:pStyle w:val="Sinespaciado"/>
        <w:jc w:val="both"/>
        <w:rPr>
          <w:rFonts w:ascii="Century Gothic" w:hAnsi="Century Gothic"/>
        </w:rPr>
      </w:pPr>
    </w:p>
    <w:p w:rsidR="003C7F9F" w:rsidRPr="003A55A1" w:rsidRDefault="003C7F9F" w:rsidP="003C7F9F">
      <w:pPr>
        <w:pStyle w:val="Sinespaciado"/>
        <w:jc w:val="both"/>
        <w:rPr>
          <w:rFonts w:ascii="Century Gothic" w:hAnsi="Century Gothic"/>
        </w:rPr>
      </w:pPr>
      <w:r w:rsidRPr="003A55A1">
        <w:rPr>
          <w:rFonts w:ascii="Century Gothic" w:hAnsi="Century Gothic"/>
        </w:rPr>
        <w:t>xi.</w:t>
      </w:r>
      <w:r w:rsidRPr="003A55A1">
        <w:rPr>
          <w:rFonts w:ascii="Century Gothic" w:hAnsi="Century Gothic"/>
        </w:rPr>
        <w:tab/>
        <w:t>Retenciones y contribuciones – Representa el monto de las retenciones efectuadas a contratistas y a proveedores de bienes y servicios, las retenciones sobre las remuneraciones realizadas al personal, así como las contribuciones por pagar, entre otras, cuya liquidación se prevé realizar en un plazo menor o igual a doce meses.</w:t>
      </w:r>
    </w:p>
    <w:p w:rsidR="003C7F9F" w:rsidRPr="003A55A1" w:rsidRDefault="003C7F9F" w:rsidP="003C7F9F">
      <w:pPr>
        <w:pStyle w:val="Sinespaciado"/>
        <w:jc w:val="both"/>
        <w:rPr>
          <w:rFonts w:ascii="Century Gothic" w:hAnsi="Century Gothic"/>
        </w:rPr>
      </w:pPr>
    </w:p>
    <w:p w:rsidR="003C7F9F" w:rsidRPr="003A55A1" w:rsidRDefault="003C7F9F" w:rsidP="003C7F9F">
      <w:pPr>
        <w:pStyle w:val="Sinespaciado"/>
        <w:jc w:val="both"/>
        <w:rPr>
          <w:rFonts w:ascii="Century Gothic" w:hAnsi="Century Gothic"/>
        </w:rPr>
      </w:pPr>
      <w:r w:rsidRPr="003A55A1">
        <w:rPr>
          <w:rFonts w:ascii="Century Gothic" w:hAnsi="Century Gothic"/>
        </w:rPr>
        <w:t>xii.</w:t>
      </w:r>
      <w:r w:rsidRPr="003A55A1">
        <w:rPr>
          <w:rFonts w:ascii="Century Gothic" w:hAnsi="Century Gothic"/>
        </w:rPr>
        <w:tab/>
        <w:t xml:space="preserve">Ingresos y otros beneficios – Representa el importe de los ingresos y otros beneficios del ente público provenientes de los ingresos de gestión principalmente, solo en caso de celebrarse algún convenio específico durante el ejercicio, el Patronato, en el momento de recibir los recursos provenientes de dicho convenio reconocerá el ingreso en estado de actividades. </w:t>
      </w:r>
    </w:p>
    <w:p w:rsidR="003C7F9F" w:rsidRPr="003A55A1" w:rsidRDefault="003C7F9F" w:rsidP="003C7F9F">
      <w:pPr>
        <w:pStyle w:val="Sinespaciado"/>
        <w:jc w:val="both"/>
        <w:rPr>
          <w:rFonts w:ascii="Century Gothic" w:hAnsi="Century Gothic"/>
        </w:rPr>
      </w:pPr>
    </w:p>
    <w:p w:rsidR="003C7F9F" w:rsidRPr="003A55A1" w:rsidRDefault="003C7F9F" w:rsidP="003C7F9F">
      <w:pPr>
        <w:pStyle w:val="Sinespaciado"/>
        <w:jc w:val="both"/>
        <w:rPr>
          <w:rFonts w:ascii="Century Gothic" w:hAnsi="Century Gothic"/>
        </w:rPr>
      </w:pPr>
      <w:r w:rsidRPr="003A55A1">
        <w:rPr>
          <w:rFonts w:ascii="Century Gothic" w:hAnsi="Century Gothic"/>
        </w:rPr>
        <w:t>x</w:t>
      </w:r>
      <w:r w:rsidR="001F1812" w:rsidRPr="003A55A1">
        <w:rPr>
          <w:rFonts w:ascii="Century Gothic" w:hAnsi="Century Gothic"/>
        </w:rPr>
        <w:t>iii</w:t>
      </w:r>
      <w:r w:rsidRPr="003A55A1">
        <w:rPr>
          <w:rFonts w:ascii="Century Gothic" w:hAnsi="Century Gothic"/>
        </w:rPr>
        <w:t>.</w:t>
      </w:r>
      <w:r w:rsidRPr="003A55A1">
        <w:rPr>
          <w:rFonts w:ascii="Century Gothic" w:hAnsi="Century Gothic"/>
        </w:rPr>
        <w:tab/>
        <w:t>Gastos y otras pérdidas – Los egresos del Patronato tendrán que apegarse al clasificador por objeto del gasto emitido por el CONAC para su agrupación en el estado de actividades.</w:t>
      </w:r>
    </w:p>
    <w:p w:rsidR="003C7F9F" w:rsidRPr="003A55A1" w:rsidRDefault="003C7F9F" w:rsidP="003C7F9F">
      <w:pPr>
        <w:pStyle w:val="Sinespaciado"/>
        <w:jc w:val="both"/>
        <w:rPr>
          <w:rFonts w:ascii="Century Gothic" w:hAnsi="Century Gothic"/>
        </w:rPr>
      </w:pPr>
    </w:p>
    <w:p w:rsidR="00180314" w:rsidRPr="003A55A1" w:rsidRDefault="001F1812" w:rsidP="006E1A76">
      <w:pPr>
        <w:pStyle w:val="Sinespaciado"/>
        <w:jc w:val="both"/>
        <w:rPr>
          <w:rFonts w:ascii="Century Gothic" w:hAnsi="Century Gothic"/>
          <w:bCs/>
        </w:rPr>
      </w:pPr>
      <w:r w:rsidRPr="003A55A1">
        <w:rPr>
          <w:rFonts w:ascii="Century Gothic" w:hAnsi="Century Gothic"/>
          <w:bCs/>
        </w:rPr>
        <w:t xml:space="preserve">xiv. Reconocimiento  de ingresos </w:t>
      </w:r>
      <w:r w:rsidR="00471948" w:rsidRPr="003A55A1">
        <w:rPr>
          <w:rFonts w:ascii="Century Gothic" w:hAnsi="Century Gothic"/>
          <w:bCs/>
        </w:rPr>
        <w:t> </w:t>
      </w:r>
      <w:r w:rsidR="00C75F20" w:rsidRPr="003A55A1">
        <w:rPr>
          <w:rFonts w:ascii="Century Gothic" w:hAnsi="Century Gothic"/>
          <w:bCs/>
        </w:rPr>
        <w:t>se reconocen</w:t>
      </w:r>
      <w:r w:rsidR="00471948" w:rsidRPr="003A55A1">
        <w:rPr>
          <w:rFonts w:ascii="Century Gothic" w:hAnsi="Century Gothic"/>
          <w:bCs/>
        </w:rPr>
        <w:t xml:space="preserve"> los ingresos  bajo el  concepto de venta de bienes y servicios,   en algunos  casos  cuando el Cliente solicita  comprobante fiscal  para  gestionar el pago se emite  comprobante  fiscal bajo  la forma de  pago en parcialidades  registrándose  el   ingreso devengado  en la fecha de emisi</w:t>
      </w:r>
      <w:r w:rsidR="00180314" w:rsidRPr="003A55A1">
        <w:rPr>
          <w:rFonts w:ascii="Century Gothic" w:hAnsi="Century Gothic"/>
          <w:bCs/>
        </w:rPr>
        <w:t>ón de dicho comprobante fiscal.</w:t>
      </w:r>
      <w:r w:rsidR="00471948" w:rsidRPr="003A55A1">
        <w:rPr>
          <w:rFonts w:ascii="Century Gothic" w:hAnsi="Century Gothic"/>
          <w:bCs/>
        </w:rPr>
        <w:t> </w:t>
      </w:r>
      <w:r w:rsidR="00180314" w:rsidRPr="003A55A1">
        <w:rPr>
          <w:rFonts w:ascii="Century Gothic" w:hAnsi="Century Gothic"/>
          <w:bCs/>
        </w:rPr>
        <w:t xml:space="preserve"> </w:t>
      </w:r>
    </w:p>
    <w:p w:rsidR="00180314" w:rsidRPr="003A55A1" w:rsidRDefault="00180314" w:rsidP="006E1A76">
      <w:pPr>
        <w:pStyle w:val="Sinespaciado"/>
        <w:jc w:val="both"/>
        <w:rPr>
          <w:rFonts w:ascii="Century Gothic" w:hAnsi="Century Gothic"/>
          <w:b/>
          <w:bCs/>
        </w:rPr>
      </w:pPr>
    </w:p>
    <w:p w:rsidR="007D7913" w:rsidRPr="003A55A1" w:rsidRDefault="007D7913" w:rsidP="003C7F9F">
      <w:pPr>
        <w:pStyle w:val="Sinespaciado"/>
        <w:jc w:val="both"/>
        <w:rPr>
          <w:rFonts w:ascii="Century Gothic" w:hAnsi="Century Gothic"/>
        </w:rPr>
      </w:pPr>
    </w:p>
    <w:p w:rsidR="004A2264" w:rsidRPr="003A55A1" w:rsidRDefault="007D7913" w:rsidP="003C7F9F">
      <w:pPr>
        <w:pStyle w:val="Sinespaciado"/>
        <w:jc w:val="both"/>
        <w:rPr>
          <w:rFonts w:ascii="Century Gothic" w:hAnsi="Century Gothic"/>
          <w:b/>
        </w:rPr>
      </w:pPr>
      <w:r w:rsidRPr="003A55A1">
        <w:rPr>
          <w:rFonts w:ascii="Century Gothic" w:hAnsi="Century Gothic"/>
          <w:b/>
        </w:rPr>
        <w:t xml:space="preserve">c).- </w:t>
      </w:r>
      <w:r w:rsidR="003C7F9F" w:rsidRPr="003A55A1">
        <w:rPr>
          <w:rFonts w:ascii="Century Gothic" w:hAnsi="Century Gothic"/>
          <w:b/>
        </w:rPr>
        <w:t xml:space="preserve">Postulados básicos – </w:t>
      </w:r>
    </w:p>
    <w:p w:rsidR="004A2264" w:rsidRPr="003A55A1" w:rsidRDefault="004A2264" w:rsidP="003C7F9F">
      <w:pPr>
        <w:pStyle w:val="Sinespaciado"/>
        <w:jc w:val="both"/>
        <w:rPr>
          <w:rFonts w:ascii="Century Gothic" w:hAnsi="Century Gothic"/>
        </w:rPr>
      </w:pPr>
    </w:p>
    <w:p w:rsidR="003C7F9F" w:rsidRPr="003A55A1" w:rsidRDefault="003C7F9F" w:rsidP="003C7F9F">
      <w:pPr>
        <w:pStyle w:val="Sinespaciado"/>
        <w:jc w:val="both"/>
        <w:rPr>
          <w:rFonts w:ascii="Century Gothic" w:hAnsi="Century Gothic"/>
        </w:rPr>
      </w:pPr>
      <w:r w:rsidRPr="003A55A1">
        <w:rPr>
          <w:rFonts w:ascii="Century Gothic" w:hAnsi="Century Gothic"/>
        </w:rPr>
        <w:t xml:space="preserve">El Patronato </w:t>
      </w:r>
      <w:r w:rsidR="007D7913" w:rsidRPr="003A55A1">
        <w:rPr>
          <w:rFonts w:ascii="Century Gothic" w:hAnsi="Century Gothic"/>
        </w:rPr>
        <w:t>se</w:t>
      </w:r>
      <w:r w:rsidRPr="003A55A1">
        <w:rPr>
          <w:rFonts w:ascii="Century Gothic" w:hAnsi="Century Gothic"/>
        </w:rPr>
        <w:t xml:space="preserve"> apega en la preparación de sus estados financieros a </w:t>
      </w:r>
      <w:r w:rsidR="001F1812" w:rsidRPr="003A55A1">
        <w:rPr>
          <w:rFonts w:ascii="Century Gothic" w:hAnsi="Century Gothic"/>
        </w:rPr>
        <w:t xml:space="preserve"> la normatividad  emitida por CONAC y a </w:t>
      </w:r>
      <w:r w:rsidRPr="003A55A1">
        <w:rPr>
          <w:rFonts w:ascii="Century Gothic" w:hAnsi="Century Gothic"/>
        </w:rPr>
        <w:t xml:space="preserve">los </w:t>
      </w:r>
      <w:r w:rsidR="007D7913" w:rsidRPr="003A55A1">
        <w:rPr>
          <w:rFonts w:ascii="Century Gothic" w:hAnsi="Century Gothic"/>
        </w:rPr>
        <w:t xml:space="preserve">siguientes </w:t>
      </w:r>
      <w:r w:rsidRPr="003A55A1">
        <w:rPr>
          <w:rFonts w:ascii="Century Gothic" w:hAnsi="Century Gothic"/>
        </w:rPr>
        <w:t>postulados básicos emitidos por el CONAC</w:t>
      </w:r>
      <w:r w:rsidR="00A31EF8" w:rsidRPr="003A55A1">
        <w:rPr>
          <w:rFonts w:ascii="Century Gothic" w:hAnsi="Century Gothic"/>
        </w:rPr>
        <w:t>:</w:t>
      </w:r>
    </w:p>
    <w:p w:rsidR="003C7F9F" w:rsidRPr="003A55A1" w:rsidRDefault="003C7F9F" w:rsidP="00F1027B">
      <w:pPr>
        <w:pStyle w:val="Sinespaciado"/>
        <w:jc w:val="both"/>
        <w:rPr>
          <w:rFonts w:ascii="Century Gothic" w:hAnsi="Century Gothic"/>
        </w:rPr>
      </w:pPr>
    </w:p>
    <w:p w:rsidR="007D7913" w:rsidRPr="003A55A1" w:rsidRDefault="007D7913" w:rsidP="007D7913">
      <w:pPr>
        <w:pStyle w:val="Sinespaciado"/>
        <w:numPr>
          <w:ilvl w:val="0"/>
          <w:numId w:val="3"/>
        </w:numPr>
        <w:jc w:val="both"/>
        <w:rPr>
          <w:rFonts w:ascii="Century Gothic" w:hAnsi="Century Gothic"/>
        </w:rPr>
      </w:pPr>
      <w:r w:rsidRPr="003A55A1">
        <w:rPr>
          <w:rFonts w:ascii="Century Gothic" w:hAnsi="Century Gothic"/>
        </w:rPr>
        <w:t xml:space="preserve">Sustancia económica. </w:t>
      </w:r>
    </w:p>
    <w:p w:rsidR="007D7913" w:rsidRPr="003A55A1" w:rsidRDefault="007D7913" w:rsidP="007D7913">
      <w:pPr>
        <w:pStyle w:val="Sinespaciado"/>
        <w:jc w:val="both"/>
        <w:rPr>
          <w:rFonts w:ascii="Century Gothic" w:hAnsi="Century Gothic"/>
        </w:rPr>
      </w:pPr>
    </w:p>
    <w:p w:rsidR="007D7913" w:rsidRPr="003A55A1" w:rsidRDefault="007D7913" w:rsidP="007D7913">
      <w:pPr>
        <w:pStyle w:val="Sinespaciado"/>
        <w:numPr>
          <w:ilvl w:val="0"/>
          <w:numId w:val="3"/>
        </w:numPr>
        <w:jc w:val="both"/>
        <w:rPr>
          <w:rFonts w:ascii="Century Gothic" w:hAnsi="Century Gothic"/>
        </w:rPr>
      </w:pPr>
      <w:r w:rsidRPr="003A55A1">
        <w:rPr>
          <w:rFonts w:ascii="Century Gothic" w:hAnsi="Century Gothic"/>
        </w:rPr>
        <w:t xml:space="preserve">Entes públicos. </w:t>
      </w:r>
    </w:p>
    <w:p w:rsidR="007D7913" w:rsidRPr="003A55A1" w:rsidRDefault="007D7913" w:rsidP="007D7913">
      <w:pPr>
        <w:pStyle w:val="Sinespaciado"/>
        <w:jc w:val="both"/>
        <w:rPr>
          <w:rFonts w:ascii="Century Gothic" w:hAnsi="Century Gothic"/>
        </w:rPr>
      </w:pPr>
    </w:p>
    <w:p w:rsidR="007D7913" w:rsidRPr="003A55A1" w:rsidRDefault="007D7913" w:rsidP="007D7913">
      <w:pPr>
        <w:pStyle w:val="Sinespaciado"/>
        <w:numPr>
          <w:ilvl w:val="0"/>
          <w:numId w:val="3"/>
        </w:numPr>
        <w:jc w:val="both"/>
        <w:rPr>
          <w:rFonts w:ascii="Century Gothic" w:hAnsi="Century Gothic"/>
        </w:rPr>
      </w:pPr>
      <w:r w:rsidRPr="003A55A1">
        <w:rPr>
          <w:rFonts w:ascii="Century Gothic" w:hAnsi="Century Gothic"/>
        </w:rPr>
        <w:t xml:space="preserve">Existencia permanente. </w:t>
      </w:r>
    </w:p>
    <w:p w:rsidR="007D7913" w:rsidRPr="003A55A1" w:rsidRDefault="007D7913" w:rsidP="007D7913">
      <w:pPr>
        <w:pStyle w:val="Sinespaciado"/>
        <w:jc w:val="both"/>
        <w:rPr>
          <w:rFonts w:ascii="Century Gothic" w:hAnsi="Century Gothic"/>
        </w:rPr>
      </w:pPr>
    </w:p>
    <w:p w:rsidR="007D7913" w:rsidRPr="003A55A1" w:rsidRDefault="007D7913" w:rsidP="007D7913">
      <w:pPr>
        <w:pStyle w:val="Sinespaciado"/>
        <w:numPr>
          <w:ilvl w:val="0"/>
          <w:numId w:val="3"/>
        </w:numPr>
        <w:jc w:val="both"/>
        <w:rPr>
          <w:rFonts w:ascii="Century Gothic" w:hAnsi="Century Gothic"/>
        </w:rPr>
      </w:pPr>
      <w:r w:rsidRPr="003A55A1">
        <w:rPr>
          <w:rFonts w:ascii="Century Gothic" w:hAnsi="Century Gothic"/>
        </w:rPr>
        <w:t xml:space="preserve">Revelación suficiente. </w:t>
      </w:r>
    </w:p>
    <w:p w:rsidR="007D7913" w:rsidRPr="003A55A1" w:rsidRDefault="007D7913" w:rsidP="007D7913">
      <w:pPr>
        <w:pStyle w:val="Sinespaciado"/>
        <w:jc w:val="both"/>
        <w:rPr>
          <w:rFonts w:ascii="Century Gothic" w:hAnsi="Century Gothic"/>
        </w:rPr>
      </w:pPr>
    </w:p>
    <w:p w:rsidR="007D7913" w:rsidRPr="003A55A1" w:rsidRDefault="007D7913" w:rsidP="007D7913">
      <w:pPr>
        <w:pStyle w:val="Sinespaciado"/>
        <w:numPr>
          <w:ilvl w:val="0"/>
          <w:numId w:val="3"/>
        </w:numPr>
        <w:jc w:val="both"/>
        <w:rPr>
          <w:rFonts w:ascii="Century Gothic" w:hAnsi="Century Gothic"/>
        </w:rPr>
      </w:pPr>
      <w:r w:rsidRPr="003A55A1">
        <w:rPr>
          <w:rFonts w:ascii="Century Gothic" w:hAnsi="Century Gothic"/>
        </w:rPr>
        <w:t>Importancia relativa.</w:t>
      </w:r>
    </w:p>
    <w:p w:rsidR="007D7913" w:rsidRPr="003A55A1" w:rsidRDefault="007D7913" w:rsidP="007D7913">
      <w:pPr>
        <w:pStyle w:val="Sinespaciado"/>
        <w:jc w:val="both"/>
        <w:rPr>
          <w:rFonts w:ascii="Century Gothic" w:hAnsi="Century Gothic"/>
        </w:rPr>
      </w:pPr>
    </w:p>
    <w:p w:rsidR="007D7913" w:rsidRPr="003A55A1" w:rsidRDefault="007D7913" w:rsidP="007D7913">
      <w:pPr>
        <w:pStyle w:val="Sinespaciado"/>
        <w:numPr>
          <w:ilvl w:val="0"/>
          <w:numId w:val="3"/>
        </w:numPr>
        <w:jc w:val="both"/>
        <w:rPr>
          <w:rFonts w:ascii="Century Gothic" w:hAnsi="Century Gothic"/>
        </w:rPr>
      </w:pPr>
      <w:r w:rsidRPr="003A55A1">
        <w:rPr>
          <w:rFonts w:ascii="Century Gothic" w:hAnsi="Century Gothic"/>
        </w:rPr>
        <w:t xml:space="preserve">Registro e integración presupuestaria. </w:t>
      </w:r>
    </w:p>
    <w:p w:rsidR="007D7913" w:rsidRPr="003A55A1" w:rsidRDefault="007D7913" w:rsidP="007D7913">
      <w:pPr>
        <w:pStyle w:val="Sinespaciado"/>
        <w:jc w:val="both"/>
        <w:rPr>
          <w:rFonts w:ascii="Century Gothic" w:hAnsi="Century Gothic"/>
        </w:rPr>
      </w:pPr>
    </w:p>
    <w:p w:rsidR="007D7913" w:rsidRPr="003A55A1" w:rsidRDefault="007D7913" w:rsidP="007D7913">
      <w:pPr>
        <w:pStyle w:val="Sinespaciado"/>
        <w:numPr>
          <w:ilvl w:val="0"/>
          <w:numId w:val="3"/>
        </w:numPr>
        <w:jc w:val="both"/>
        <w:rPr>
          <w:rFonts w:ascii="Century Gothic" w:hAnsi="Century Gothic"/>
        </w:rPr>
      </w:pPr>
      <w:r w:rsidRPr="003A55A1">
        <w:rPr>
          <w:rFonts w:ascii="Century Gothic" w:hAnsi="Century Gothic"/>
        </w:rPr>
        <w:t xml:space="preserve">Devengo contable. </w:t>
      </w:r>
    </w:p>
    <w:p w:rsidR="007D7913" w:rsidRPr="003A55A1" w:rsidRDefault="007D7913" w:rsidP="007D7913">
      <w:pPr>
        <w:pStyle w:val="Sinespaciado"/>
        <w:jc w:val="both"/>
        <w:rPr>
          <w:rFonts w:ascii="Century Gothic" w:hAnsi="Century Gothic"/>
        </w:rPr>
      </w:pPr>
    </w:p>
    <w:p w:rsidR="007D7913" w:rsidRPr="003A55A1" w:rsidRDefault="007D7913" w:rsidP="007D7913">
      <w:pPr>
        <w:pStyle w:val="Sinespaciado"/>
        <w:numPr>
          <w:ilvl w:val="0"/>
          <w:numId w:val="3"/>
        </w:numPr>
        <w:jc w:val="both"/>
        <w:rPr>
          <w:rFonts w:ascii="Century Gothic" w:hAnsi="Century Gothic"/>
        </w:rPr>
      </w:pPr>
      <w:r w:rsidRPr="003A55A1">
        <w:rPr>
          <w:rFonts w:ascii="Century Gothic" w:hAnsi="Century Gothic"/>
        </w:rPr>
        <w:t xml:space="preserve">Período contable. </w:t>
      </w:r>
    </w:p>
    <w:p w:rsidR="007D7913" w:rsidRPr="003A55A1" w:rsidRDefault="007D7913" w:rsidP="007D7913">
      <w:pPr>
        <w:pStyle w:val="Sinespaciado"/>
        <w:jc w:val="both"/>
        <w:rPr>
          <w:rFonts w:ascii="Century Gothic" w:hAnsi="Century Gothic"/>
        </w:rPr>
      </w:pPr>
    </w:p>
    <w:p w:rsidR="007D7913" w:rsidRPr="003A55A1" w:rsidRDefault="007D7913" w:rsidP="007D7913">
      <w:pPr>
        <w:pStyle w:val="Sinespaciado"/>
        <w:numPr>
          <w:ilvl w:val="0"/>
          <w:numId w:val="3"/>
        </w:numPr>
        <w:jc w:val="both"/>
        <w:rPr>
          <w:rFonts w:ascii="Century Gothic" w:hAnsi="Century Gothic"/>
        </w:rPr>
      </w:pPr>
      <w:r w:rsidRPr="003A55A1">
        <w:rPr>
          <w:rFonts w:ascii="Century Gothic" w:hAnsi="Century Gothic"/>
        </w:rPr>
        <w:lastRenderedPageBreak/>
        <w:t>Valuación.</w:t>
      </w:r>
    </w:p>
    <w:p w:rsidR="007D7913" w:rsidRPr="003A55A1" w:rsidRDefault="007D7913" w:rsidP="007D7913">
      <w:pPr>
        <w:pStyle w:val="Sinespaciado"/>
        <w:jc w:val="both"/>
        <w:rPr>
          <w:rFonts w:ascii="Century Gothic" w:hAnsi="Century Gothic"/>
        </w:rPr>
      </w:pPr>
    </w:p>
    <w:p w:rsidR="007D7913" w:rsidRPr="003A55A1" w:rsidRDefault="007D7913" w:rsidP="007D7913">
      <w:pPr>
        <w:pStyle w:val="Sinespaciado"/>
        <w:numPr>
          <w:ilvl w:val="0"/>
          <w:numId w:val="3"/>
        </w:numPr>
        <w:jc w:val="both"/>
        <w:rPr>
          <w:rFonts w:ascii="Century Gothic" w:hAnsi="Century Gothic"/>
        </w:rPr>
      </w:pPr>
      <w:r w:rsidRPr="003A55A1">
        <w:rPr>
          <w:rFonts w:ascii="Century Gothic" w:hAnsi="Century Gothic"/>
        </w:rPr>
        <w:t xml:space="preserve">Dualidad económica. </w:t>
      </w:r>
    </w:p>
    <w:p w:rsidR="007D7913" w:rsidRPr="003A55A1" w:rsidRDefault="007D7913" w:rsidP="007D7913">
      <w:pPr>
        <w:pStyle w:val="Sinespaciado"/>
        <w:jc w:val="both"/>
        <w:rPr>
          <w:rFonts w:ascii="Century Gothic" w:hAnsi="Century Gothic"/>
        </w:rPr>
      </w:pPr>
    </w:p>
    <w:p w:rsidR="007D7913" w:rsidRPr="003A55A1" w:rsidRDefault="007D7913" w:rsidP="007D7913">
      <w:pPr>
        <w:pStyle w:val="Sinespaciado"/>
        <w:numPr>
          <w:ilvl w:val="0"/>
          <w:numId w:val="3"/>
        </w:numPr>
        <w:jc w:val="both"/>
        <w:rPr>
          <w:rFonts w:ascii="Century Gothic" w:hAnsi="Century Gothic"/>
        </w:rPr>
      </w:pPr>
      <w:r w:rsidRPr="003A55A1">
        <w:rPr>
          <w:rFonts w:ascii="Century Gothic" w:hAnsi="Century Gothic"/>
        </w:rPr>
        <w:t>Consistencia.</w:t>
      </w:r>
    </w:p>
    <w:p w:rsidR="007D7913" w:rsidRPr="003A55A1" w:rsidRDefault="007D7913" w:rsidP="00F1027B">
      <w:pPr>
        <w:pStyle w:val="Sinespaciado"/>
        <w:jc w:val="both"/>
        <w:rPr>
          <w:rFonts w:ascii="Century Gothic" w:hAnsi="Century Gothic"/>
        </w:rPr>
      </w:pPr>
    </w:p>
    <w:p w:rsidR="004A2264" w:rsidRPr="003A55A1" w:rsidRDefault="007D7913" w:rsidP="00F1027B">
      <w:pPr>
        <w:pStyle w:val="Sinespaciado"/>
        <w:jc w:val="both"/>
        <w:rPr>
          <w:rFonts w:ascii="Century Gothic" w:hAnsi="Century Gothic"/>
          <w:b/>
        </w:rPr>
      </w:pPr>
      <w:r w:rsidRPr="003A55A1">
        <w:rPr>
          <w:rFonts w:ascii="Century Gothic" w:hAnsi="Century Gothic"/>
          <w:b/>
        </w:rPr>
        <w:t xml:space="preserve">d).- </w:t>
      </w:r>
      <w:r w:rsidR="004A2264" w:rsidRPr="003A55A1">
        <w:rPr>
          <w:rFonts w:ascii="Century Gothic" w:hAnsi="Century Gothic"/>
          <w:b/>
        </w:rPr>
        <w:t xml:space="preserve"> Normatividad supletoria-</w:t>
      </w:r>
    </w:p>
    <w:p w:rsidR="004A2264" w:rsidRPr="003A55A1" w:rsidRDefault="004A2264" w:rsidP="00F1027B">
      <w:pPr>
        <w:pStyle w:val="Sinespaciado"/>
        <w:jc w:val="both"/>
        <w:rPr>
          <w:rFonts w:ascii="Century Gothic" w:hAnsi="Century Gothic"/>
        </w:rPr>
      </w:pPr>
    </w:p>
    <w:p w:rsidR="00810DC8" w:rsidRPr="003A55A1" w:rsidRDefault="004A2264" w:rsidP="00810DC8">
      <w:pPr>
        <w:pStyle w:val="Sinespaciado"/>
        <w:jc w:val="both"/>
        <w:rPr>
          <w:rFonts w:ascii="Century Gothic" w:hAnsi="Century Gothic"/>
        </w:rPr>
      </w:pPr>
      <w:r w:rsidRPr="003A55A1">
        <w:rPr>
          <w:rFonts w:ascii="Century Gothic" w:hAnsi="Century Gothic"/>
        </w:rPr>
        <w:t xml:space="preserve">El Patronato no aplica  ninguna normatividad supletoria  que  autoriza la  normatividad en materia  de contabilidad gubernamental. </w:t>
      </w:r>
    </w:p>
    <w:p w:rsidR="00810DC8" w:rsidRPr="003A55A1" w:rsidRDefault="00810DC8" w:rsidP="00810DC8">
      <w:pPr>
        <w:pStyle w:val="Sinespaciado"/>
        <w:jc w:val="both"/>
        <w:rPr>
          <w:rFonts w:ascii="Century Gothic" w:hAnsi="Century Gothic"/>
        </w:rPr>
      </w:pPr>
    </w:p>
    <w:p w:rsidR="00F1027B" w:rsidRPr="003A55A1" w:rsidRDefault="007D7913" w:rsidP="00F1027B">
      <w:pPr>
        <w:pStyle w:val="Sinespaciado"/>
        <w:jc w:val="both"/>
        <w:rPr>
          <w:rFonts w:ascii="Century Gothic" w:hAnsi="Century Gothic"/>
          <w:b/>
        </w:rPr>
      </w:pPr>
      <w:r w:rsidRPr="003A55A1">
        <w:rPr>
          <w:rFonts w:ascii="Century Gothic" w:hAnsi="Century Gothic"/>
          <w:b/>
        </w:rPr>
        <w:t>e).- Cambios  en políticas  contables-</w:t>
      </w:r>
    </w:p>
    <w:p w:rsidR="007D7913" w:rsidRPr="003A55A1" w:rsidRDefault="007D7913" w:rsidP="00F1027B">
      <w:pPr>
        <w:pStyle w:val="Sinespaciado"/>
        <w:jc w:val="both"/>
        <w:rPr>
          <w:rFonts w:ascii="Century Gothic" w:hAnsi="Century Gothic"/>
        </w:rPr>
      </w:pPr>
    </w:p>
    <w:p w:rsidR="00792995" w:rsidRPr="003A55A1" w:rsidRDefault="00792995" w:rsidP="00792995">
      <w:pPr>
        <w:pStyle w:val="Sinespaciado"/>
        <w:jc w:val="both"/>
        <w:rPr>
          <w:rFonts w:ascii="Century Gothic" w:hAnsi="Century Gothic"/>
          <w:b/>
        </w:rPr>
      </w:pPr>
      <w:r w:rsidRPr="003A55A1">
        <w:rPr>
          <w:rFonts w:ascii="Century Gothic" w:hAnsi="Century Gothic"/>
        </w:rPr>
        <w:t>El Patronato a partir de enero de 201</w:t>
      </w:r>
      <w:r w:rsidR="001F1812" w:rsidRPr="003A55A1">
        <w:rPr>
          <w:rFonts w:ascii="Century Gothic" w:hAnsi="Century Gothic"/>
        </w:rPr>
        <w:t>9</w:t>
      </w:r>
      <w:r w:rsidRPr="003A55A1">
        <w:rPr>
          <w:rFonts w:ascii="Century Gothic" w:hAnsi="Century Gothic"/>
        </w:rPr>
        <w:t xml:space="preserve"> reconoce  los momentos contables </w:t>
      </w:r>
      <w:r w:rsidR="002F7804" w:rsidRPr="003A55A1">
        <w:rPr>
          <w:rFonts w:ascii="Century Gothic" w:hAnsi="Century Gothic"/>
        </w:rPr>
        <w:t xml:space="preserve">de los ingresos </w:t>
      </w:r>
      <w:r w:rsidRPr="003A55A1">
        <w:rPr>
          <w:rFonts w:ascii="Century Gothic" w:hAnsi="Century Gothic"/>
        </w:rPr>
        <w:t xml:space="preserve">de </w:t>
      </w:r>
      <w:r w:rsidR="001F1812" w:rsidRPr="003A55A1">
        <w:rPr>
          <w:rFonts w:ascii="Century Gothic" w:hAnsi="Century Gothic"/>
        </w:rPr>
        <w:t xml:space="preserve"> conformidad  al </w:t>
      </w:r>
      <w:r w:rsidRPr="003A55A1">
        <w:rPr>
          <w:rFonts w:ascii="Century Gothic" w:hAnsi="Century Gothic"/>
        </w:rPr>
        <w:t>acuerdo</w:t>
      </w:r>
      <w:r w:rsidR="001F1812" w:rsidRPr="003A55A1">
        <w:rPr>
          <w:rFonts w:ascii="Century Gothic" w:hAnsi="Century Gothic"/>
        </w:rPr>
        <w:t xml:space="preserve"> </w:t>
      </w:r>
      <w:r w:rsidR="001F1812" w:rsidRPr="003A55A1">
        <w:rPr>
          <w:rFonts w:ascii="Century Gothic" w:hAnsi="Century Gothic"/>
          <w:bCs/>
        </w:rPr>
        <w:t>publicado por CONAC el 27 de septiembre de 2018.</w:t>
      </w:r>
    </w:p>
    <w:p w:rsidR="00792995" w:rsidRPr="003A55A1" w:rsidRDefault="00792995" w:rsidP="00F1027B">
      <w:pPr>
        <w:pStyle w:val="Sinespaciado"/>
        <w:jc w:val="both"/>
        <w:rPr>
          <w:rFonts w:ascii="Century Gothic" w:hAnsi="Century Gothic"/>
        </w:rPr>
      </w:pPr>
    </w:p>
    <w:p w:rsidR="00810DC8" w:rsidRPr="003A55A1" w:rsidRDefault="00810DC8" w:rsidP="00810DC8">
      <w:pPr>
        <w:pStyle w:val="Sinespaciado"/>
        <w:jc w:val="both"/>
        <w:rPr>
          <w:rFonts w:ascii="Century Gothic" w:hAnsi="Century Gothic"/>
          <w:b/>
          <w:u w:val="single"/>
        </w:rPr>
      </w:pPr>
      <w:r w:rsidRPr="003A55A1">
        <w:rPr>
          <w:rFonts w:ascii="Century Gothic" w:hAnsi="Century Gothic"/>
          <w:b/>
          <w:u w:val="single"/>
        </w:rPr>
        <w:t>6.-Políticas de contabilidad significativas</w:t>
      </w:r>
    </w:p>
    <w:p w:rsidR="00810DC8" w:rsidRPr="003A55A1" w:rsidRDefault="00810DC8" w:rsidP="00810DC8">
      <w:pPr>
        <w:pStyle w:val="Sinespaciado"/>
        <w:jc w:val="both"/>
        <w:rPr>
          <w:rFonts w:ascii="Century Gothic" w:hAnsi="Century Gothic"/>
        </w:rPr>
      </w:pPr>
    </w:p>
    <w:p w:rsidR="007D7913" w:rsidRPr="003A55A1" w:rsidRDefault="007D7913" w:rsidP="00146171">
      <w:pPr>
        <w:pStyle w:val="Prrafodelista"/>
        <w:numPr>
          <w:ilvl w:val="0"/>
          <w:numId w:val="4"/>
        </w:numPr>
        <w:spacing w:after="0" w:line="240" w:lineRule="auto"/>
        <w:ind w:left="1134" w:hanging="425"/>
        <w:jc w:val="both"/>
        <w:rPr>
          <w:rFonts w:ascii="Century Gothic" w:hAnsi="Century Gothic"/>
          <w:lang w:val="es-ES"/>
        </w:rPr>
      </w:pPr>
      <w:r w:rsidRPr="003A55A1">
        <w:rPr>
          <w:rFonts w:ascii="Century Gothic" w:hAnsi="Century Gothic"/>
          <w:lang w:val="es-ES"/>
        </w:rPr>
        <w:t>Actualizaciones  – El Patronato no ha registrado ninguna actualización en sus estados financieros toda vez que no han sido emitidos los lineamientos específicos para su determinación por el CONAC.</w:t>
      </w:r>
    </w:p>
    <w:p w:rsidR="007D7913" w:rsidRPr="003A55A1" w:rsidRDefault="007D7913" w:rsidP="00146171">
      <w:pPr>
        <w:pStyle w:val="Prrafodelista"/>
        <w:spacing w:after="0" w:line="240" w:lineRule="auto"/>
        <w:ind w:left="1134" w:hanging="425"/>
        <w:jc w:val="both"/>
        <w:rPr>
          <w:rFonts w:ascii="Century Gothic" w:hAnsi="Century Gothic"/>
          <w:lang w:val="es-ES"/>
        </w:rPr>
      </w:pPr>
    </w:p>
    <w:p w:rsidR="007D7913" w:rsidRPr="003A55A1" w:rsidRDefault="007D7913" w:rsidP="00146171">
      <w:pPr>
        <w:pStyle w:val="Prrafodelista"/>
        <w:numPr>
          <w:ilvl w:val="0"/>
          <w:numId w:val="4"/>
        </w:numPr>
        <w:spacing w:after="0" w:line="240" w:lineRule="auto"/>
        <w:ind w:left="1134" w:hanging="425"/>
        <w:jc w:val="both"/>
        <w:rPr>
          <w:rFonts w:ascii="Century Gothic" w:hAnsi="Century Gothic"/>
          <w:lang w:val="es-ES"/>
        </w:rPr>
      </w:pPr>
      <w:r w:rsidRPr="003A55A1">
        <w:rPr>
          <w:rFonts w:ascii="Century Gothic" w:hAnsi="Century Gothic"/>
          <w:lang w:val="es-ES"/>
        </w:rPr>
        <w:t>Operaciones en el extranjero – Las operaciones en el extranjero se registran al tipo de cambio vigente en la fecha en la que se realiza la operación.</w:t>
      </w:r>
    </w:p>
    <w:p w:rsidR="007D7913" w:rsidRPr="003A55A1" w:rsidRDefault="007D7913" w:rsidP="00146171">
      <w:pPr>
        <w:spacing w:after="0" w:line="240" w:lineRule="auto"/>
        <w:ind w:left="1134" w:hanging="425"/>
        <w:jc w:val="both"/>
        <w:rPr>
          <w:rFonts w:ascii="Century Gothic" w:hAnsi="Century Gothic"/>
        </w:rPr>
      </w:pPr>
    </w:p>
    <w:p w:rsidR="007D7913" w:rsidRPr="003A55A1" w:rsidRDefault="007D7913" w:rsidP="00146171">
      <w:pPr>
        <w:numPr>
          <w:ilvl w:val="0"/>
          <w:numId w:val="4"/>
        </w:numPr>
        <w:spacing w:after="0" w:line="240" w:lineRule="auto"/>
        <w:ind w:left="1134" w:hanging="425"/>
        <w:jc w:val="both"/>
        <w:rPr>
          <w:rFonts w:ascii="Century Gothic" w:hAnsi="Century Gothic"/>
        </w:rPr>
      </w:pPr>
      <w:r w:rsidRPr="003A55A1">
        <w:rPr>
          <w:rFonts w:ascii="Century Gothic" w:hAnsi="Century Gothic"/>
        </w:rPr>
        <w:t>Estados financieros básicos – Conforme a las políticas de información financiera establecidas por el Patronato, se presentan como estados financieros básicos, el estado de situación financiera, de actividades, de variaciones en la hacienda pública, de flujos de efectivo, de cambios en la situación financiera y analíticos del activo</w:t>
      </w:r>
      <w:r w:rsidR="001F1812" w:rsidRPr="003A55A1">
        <w:rPr>
          <w:rFonts w:ascii="Century Gothic" w:hAnsi="Century Gothic"/>
        </w:rPr>
        <w:t xml:space="preserve"> y del pasivo</w:t>
      </w:r>
      <w:r w:rsidRPr="003A55A1">
        <w:rPr>
          <w:rFonts w:ascii="Century Gothic" w:hAnsi="Century Gothic"/>
        </w:rPr>
        <w:t xml:space="preserve"> así como las notas que ayudan a la interpretación y entendimiento de los mismos.</w:t>
      </w:r>
    </w:p>
    <w:p w:rsidR="007D7913" w:rsidRPr="003A55A1" w:rsidRDefault="007D7913" w:rsidP="00146171">
      <w:pPr>
        <w:spacing w:after="0" w:line="240" w:lineRule="auto"/>
        <w:ind w:left="1134"/>
        <w:jc w:val="both"/>
        <w:rPr>
          <w:rFonts w:ascii="Century Gothic" w:hAnsi="Century Gothic"/>
        </w:rPr>
      </w:pPr>
    </w:p>
    <w:p w:rsidR="007D7913" w:rsidRPr="003A55A1" w:rsidRDefault="007D7913" w:rsidP="00146171">
      <w:pPr>
        <w:spacing w:after="0" w:line="240" w:lineRule="auto"/>
        <w:ind w:left="1134"/>
        <w:jc w:val="both"/>
        <w:rPr>
          <w:rFonts w:ascii="Century Gothic" w:hAnsi="Century Gothic"/>
        </w:rPr>
      </w:pPr>
      <w:r w:rsidRPr="003A55A1">
        <w:rPr>
          <w:rFonts w:ascii="Century Gothic" w:hAnsi="Century Gothic"/>
        </w:rPr>
        <w:t>Respecto a la presentación del estado de flujos de efectivo, el Patronato presenta los flujos por anticipos a proveedores o contratistas en sus cuentas públicas mensuales en los flujos de financi</w:t>
      </w:r>
      <w:r w:rsidR="00186659" w:rsidRPr="003A55A1">
        <w:rPr>
          <w:rFonts w:ascii="Century Gothic" w:hAnsi="Century Gothic"/>
        </w:rPr>
        <w:t>a</w:t>
      </w:r>
      <w:r w:rsidRPr="003A55A1">
        <w:rPr>
          <w:rFonts w:ascii="Century Gothic" w:hAnsi="Century Gothic"/>
        </w:rPr>
        <w:t>miento atendiendo al formato proporcionado por el Órgano de Fiscalización Superior para la integración de dicho estado</w:t>
      </w:r>
      <w:r w:rsidR="003951F0" w:rsidRPr="003A55A1">
        <w:rPr>
          <w:rFonts w:ascii="Century Gothic" w:hAnsi="Century Gothic"/>
        </w:rPr>
        <w:t>.</w:t>
      </w:r>
      <w:r w:rsidRPr="003A55A1">
        <w:rPr>
          <w:rFonts w:ascii="Century Gothic" w:hAnsi="Century Gothic"/>
        </w:rPr>
        <w:t xml:space="preserve"> </w:t>
      </w:r>
    </w:p>
    <w:p w:rsidR="007D7913" w:rsidRPr="003A55A1" w:rsidRDefault="007D7913" w:rsidP="00146171">
      <w:pPr>
        <w:tabs>
          <w:tab w:val="left" w:pos="1134"/>
          <w:tab w:val="left" w:pos="2745"/>
        </w:tabs>
        <w:spacing w:after="0" w:line="240" w:lineRule="auto"/>
        <w:ind w:left="1134" w:hanging="425"/>
        <w:jc w:val="both"/>
        <w:rPr>
          <w:rFonts w:ascii="Century Gothic" w:hAnsi="Century Gothic"/>
        </w:rPr>
      </w:pPr>
    </w:p>
    <w:p w:rsidR="007D7913" w:rsidRPr="003A55A1" w:rsidRDefault="007D7913" w:rsidP="00146171">
      <w:pPr>
        <w:pStyle w:val="Prrafodelista"/>
        <w:numPr>
          <w:ilvl w:val="0"/>
          <w:numId w:val="4"/>
        </w:numPr>
        <w:autoSpaceDE w:val="0"/>
        <w:autoSpaceDN w:val="0"/>
        <w:adjustRightInd w:val="0"/>
        <w:spacing w:after="0" w:line="240" w:lineRule="auto"/>
        <w:ind w:left="1134" w:hanging="425"/>
        <w:jc w:val="both"/>
        <w:rPr>
          <w:rFonts w:ascii="Century Gothic" w:hAnsi="Century Gothic"/>
          <w:lang w:val="es-ES"/>
        </w:rPr>
      </w:pPr>
      <w:r w:rsidRPr="003A55A1">
        <w:rPr>
          <w:rFonts w:ascii="Century Gothic" w:hAnsi="Century Gothic"/>
          <w:lang w:val="es-ES"/>
        </w:rPr>
        <w:t>Efectivo y equivalentes de efectivo – Consisten principalmente en depósitos bancarios en cuentas de cheques o depósitos a la vista o a plazo menor de un mes y están valuadas al costo más su rendimiento, el cual es semejante a su valor de mercado.</w:t>
      </w:r>
    </w:p>
    <w:p w:rsidR="007D7913" w:rsidRPr="003A55A1" w:rsidRDefault="007D7913" w:rsidP="00146171">
      <w:pPr>
        <w:tabs>
          <w:tab w:val="left" w:pos="1134"/>
        </w:tabs>
        <w:autoSpaceDE w:val="0"/>
        <w:autoSpaceDN w:val="0"/>
        <w:adjustRightInd w:val="0"/>
        <w:spacing w:after="0" w:line="240" w:lineRule="auto"/>
        <w:ind w:left="1134" w:hanging="425"/>
        <w:jc w:val="both"/>
        <w:rPr>
          <w:rFonts w:ascii="Century Gothic" w:hAnsi="Century Gothic"/>
        </w:rPr>
      </w:pPr>
    </w:p>
    <w:p w:rsidR="007D7913" w:rsidRPr="003A55A1" w:rsidRDefault="007D7913" w:rsidP="00146171">
      <w:pPr>
        <w:pStyle w:val="Prrafodelista"/>
        <w:numPr>
          <w:ilvl w:val="0"/>
          <w:numId w:val="4"/>
        </w:numPr>
        <w:tabs>
          <w:tab w:val="left" w:pos="1134"/>
        </w:tabs>
        <w:autoSpaceDE w:val="0"/>
        <w:autoSpaceDN w:val="0"/>
        <w:adjustRightInd w:val="0"/>
        <w:spacing w:after="0" w:line="240" w:lineRule="auto"/>
        <w:ind w:left="1134" w:hanging="425"/>
        <w:jc w:val="both"/>
        <w:rPr>
          <w:rFonts w:ascii="Century Gothic" w:hAnsi="Century Gothic"/>
          <w:lang w:val="es-ES"/>
        </w:rPr>
      </w:pPr>
      <w:r w:rsidRPr="003A55A1">
        <w:rPr>
          <w:rFonts w:ascii="Century Gothic" w:hAnsi="Century Gothic"/>
          <w:lang w:val="es-ES"/>
        </w:rPr>
        <w:t xml:space="preserve">Derechos a recibir efectivo o  equivalentes – </w:t>
      </w:r>
      <w:r w:rsidR="001F1812" w:rsidRPr="003A55A1">
        <w:rPr>
          <w:rFonts w:ascii="Century Gothic" w:hAnsi="Century Gothic"/>
          <w:lang w:val="es-ES"/>
        </w:rPr>
        <w:t xml:space="preserve">Consisten </w:t>
      </w:r>
      <w:r w:rsidRPr="003A55A1">
        <w:rPr>
          <w:rFonts w:ascii="Century Gothic" w:hAnsi="Century Gothic"/>
          <w:lang w:val="es-ES"/>
        </w:rPr>
        <w:t xml:space="preserve"> principalmente en los derechos devengados por ingresos</w:t>
      </w:r>
      <w:r w:rsidR="002F7804" w:rsidRPr="003A55A1">
        <w:rPr>
          <w:rFonts w:ascii="Century Gothic" w:hAnsi="Century Gothic"/>
          <w:lang w:val="es-ES"/>
        </w:rPr>
        <w:t>,</w:t>
      </w:r>
      <w:r w:rsidRPr="003A55A1">
        <w:rPr>
          <w:rFonts w:ascii="Century Gothic" w:hAnsi="Century Gothic"/>
          <w:lang w:val="es-ES"/>
        </w:rPr>
        <w:t xml:space="preserve"> y otros derechos no provenientes de ingresos</w:t>
      </w:r>
      <w:r w:rsidR="002F7804" w:rsidRPr="003A55A1">
        <w:rPr>
          <w:rFonts w:ascii="Century Gothic" w:hAnsi="Century Gothic"/>
          <w:lang w:val="es-ES"/>
        </w:rPr>
        <w:t>,</w:t>
      </w:r>
      <w:r w:rsidR="001F1812" w:rsidRPr="003A55A1">
        <w:rPr>
          <w:rFonts w:ascii="Century Gothic" w:hAnsi="Century Gothic"/>
          <w:lang w:val="es-ES"/>
        </w:rPr>
        <w:t xml:space="preserve"> registrados al momento de  emitir  el CFDI con el método de pago pago en parcialidades.</w:t>
      </w:r>
    </w:p>
    <w:p w:rsidR="007D7913" w:rsidRPr="003A55A1" w:rsidRDefault="007D7913" w:rsidP="00146171">
      <w:pPr>
        <w:tabs>
          <w:tab w:val="left" w:pos="1134"/>
        </w:tabs>
        <w:autoSpaceDE w:val="0"/>
        <w:autoSpaceDN w:val="0"/>
        <w:adjustRightInd w:val="0"/>
        <w:spacing w:after="0" w:line="240" w:lineRule="auto"/>
        <w:ind w:left="1134" w:hanging="425"/>
        <w:jc w:val="both"/>
        <w:rPr>
          <w:rFonts w:ascii="Century Gothic" w:hAnsi="Century Gothic"/>
        </w:rPr>
      </w:pPr>
    </w:p>
    <w:p w:rsidR="007D7913" w:rsidRPr="003A55A1" w:rsidRDefault="007D7913" w:rsidP="00146171">
      <w:pPr>
        <w:numPr>
          <w:ilvl w:val="0"/>
          <w:numId w:val="4"/>
        </w:numPr>
        <w:tabs>
          <w:tab w:val="left" w:pos="1134"/>
        </w:tabs>
        <w:autoSpaceDE w:val="0"/>
        <w:autoSpaceDN w:val="0"/>
        <w:adjustRightInd w:val="0"/>
        <w:spacing w:after="0" w:line="240" w:lineRule="auto"/>
        <w:ind w:left="1134" w:hanging="425"/>
        <w:jc w:val="both"/>
        <w:rPr>
          <w:rFonts w:ascii="Century Gothic" w:hAnsi="Century Gothic"/>
        </w:rPr>
      </w:pPr>
      <w:r w:rsidRPr="003A55A1">
        <w:rPr>
          <w:rFonts w:ascii="Century Gothic" w:hAnsi="Century Gothic"/>
        </w:rPr>
        <w:t>Bienes muebles,  inmuebles, infraestructura y construcciones en proceso – Se registran al costo de adquisición y se deprecian de conformidad con</w:t>
      </w:r>
      <w:r w:rsidR="00480678" w:rsidRPr="003A55A1">
        <w:rPr>
          <w:rFonts w:ascii="Century Gothic" w:hAnsi="Century Gothic"/>
        </w:rPr>
        <w:t xml:space="preserve"> los años de vida útil estimada.</w:t>
      </w:r>
    </w:p>
    <w:p w:rsidR="00480678" w:rsidRPr="003A55A1" w:rsidRDefault="00480678" w:rsidP="00146171">
      <w:pPr>
        <w:tabs>
          <w:tab w:val="left" w:pos="1134"/>
        </w:tabs>
        <w:autoSpaceDE w:val="0"/>
        <w:autoSpaceDN w:val="0"/>
        <w:adjustRightInd w:val="0"/>
        <w:spacing w:after="0" w:line="240" w:lineRule="auto"/>
        <w:jc w:val="both"/>
        <w:rPr>
          <w:rFonts w:ascii="Century Gothic" w:hAnsi="Century Gothic"/>
        </w:rPr>
      </w:pPr>
    </w:p>
    <w:p w:rsidR="007D7913" w:rsidRPr="003A55A1" w:rsidRDefault="007D7913" w:rsidP="00146171">
      <w:pPr>
        <w:numPr>
          <w:ilvl w:val="0"/>
          <w:numId w:val="4"/>
        </w:numPr>
        <w:tabs>
          <w:tab w:val="left" w:pos="1134"/>
        </w:tabs>
        <w:autoSpaceDE w:val="0"/>
        <w:autoSpaceDN w:val="0"/>
        <w:adjustRightInd w:val="0"/>
        <w:spacing w:after="0" w:line="240" w:lineRule="auto"/>
        <w:ind w:left="1134" w:hanging="425"/>
        <w:jc w:val="both"/>
        <w:rPr>
          <w:rFonts w:ascii="Century Gothic" w:hAnsi="Century Gothic"/>
        </w:rPr>
      </w:pPr>
      <w:r w:rsidRPr="003A55A1">
        <w:rPr>
          <w:rFonts w:ascii="Century Gothic" w:hAnsi="Century Gothic"/>
        </w:rPr>
        <w:t>Operaciones en moneda extranjera – Las operaciones en moneda extranjera se registran al tipo de cambio en vigor a la fecha de su celebración. Los activos y pasivos monetarios en moneda extranjera se valúan en moneda nacional al tipo de cambio vigente a la fecha de los estados financieros. Las fluctuaciones cambiarias se registran en los resultados.</w:t>
      </w:r>
    </w:p>
    <w:p w:rsidR="007D7913" w:rsidRPr="003A55A1" w:rsidRDefault="007D7913" w:rsidP="00146171">
      <w:pPr>
        <w:tabs>
          <w:tab w:val="left" w:pos="1134"/>
        </w:tabs>
        <w:autoSpaceDE w:val="0"/>
        <w:autoSpaceDN w:val="0"/>
        <w:adjustRightInd w:val="0"/>
        <w:spacing w:after="0" w:line="240" w:lineRule="auto"/>
        <w:ind w:left="1134" w:hanging="425"/>
        <w:jc w:val="both"/>
        <w:rPr>
          <w:rFonts w:ascii="Century Gothic" w:hAnsi="Century Gothic"/>
        </w:rPr>
      </w:pPr>
    </w:p>
    <w:p w:rsidR="007D7913" w:rsidRPr="003A55A1" w:rsidRDefault="007D7913" w:rsidP="00146171">
      <w:pPr>
        <w:numPr>
          <w:ilvl w:val="0"/>
          <w:numId w:val="4"/>
        </w:numPr>
        <w:tabs>
          <w:tab w:val="left" w:pos="1134"/>
        </w:tabs>
        <w:autoSpaceDE w:val="0"/>
        <w:autoSpaceDN w:val="0"/>
        <w:adjustRightInd w:val="0"/>
        <w:spacing w:after="0" w:line="240" w:lineRule="auto"/>
        <w:ind w:left="1134" w:hanging="425"/>
        <w:jc w:val="both"/>
        <w:rPr>
          <w:rFonts w:ascii="Century Gothic" w:hAnsi="Century Gothic"/>
        </w:rPr>
      </w:pPr>
      <w:r w:rsidRPr="003A55A1">
        <w:rPr>
          <w:rFonts w:ascii="Century Gothic" w:hAnsi="Century Gothic"/>
        </w:rPr>
        <w:t xml:space="preserve">Patrimonio – Se incrementa (disminuye) entre otros, con el exceso (defecto) de ingresos sobre egresos, e inversiones de cada ejercicio, adicional a las modificaciones o rectificaciones por cambio de políticas </w:t>
      </w:r>
      <w:r w:rsidR="003A2BBD" w:rsidRPr="003A55A1">
        <w:rPr>
          <w:rFonts w:ascii="Century Gothic" w:hAnsi="Century Gothic"/>
        </w:rPr>
        <w:t>contables emitidas por el CONAC o por modificaciones o rectificaciones  por registros  contables o movimientos del periodo a informar  por corrección de errores relativo a rectificación de resultados de ejercicios anteriores, en sus dos  cuentas cambios en políticas contables y cambios por errores contables.</w:t>
      </w:r>
      <w:r w:rsidR="003A2BBD" w:rsidRPr="003A55A1">
        <w:t xml:space="preserve"> </w:t>
      </w:r>
      <w:r w:rsidR="003A2BBD" w:rsidRPr="003A55A1">
        <w:br/>
      </w:r>
    </w:p>
    <w:p w:rsidR="007D7913" w:rsidRPr="003A55A1" w:rsidRDefault="007D7913" w:rsidP="00146171">
      <w:pPr>
        <w:tabs>
          <w:tab w:val="left" w:pos="1134"/>
        </w:tabs>
        <w:autoSpaceDE w:val="0"/>
        <w:autoSpaceDN w:val="0"/>
        <w:adjustRightInd w:val="0"/>
        <w:spacing w:after="0" w:line="240" w:lineRule="auto"/>
        <w:ind w:left="1134" w:hanging="425"/>
        <w:jc w:val="both"/>
        <w:rPr>
          <w:rFonts w:ascii="Century Gothic" w:hAnsi="Century Gothic"/>
        </w:rPr>
      </w:pPr>
    </w:p>
    <w:p w:rsidR="007D7913" w:rsidRPr="003A55A1" w:rsidRDefault="007D7913" w:rsidP="00146171">
      <w:pPr>
        <w:numPr>
          <w:ilvl w:val="0"/>
          <w:numId w:val="4"/>
        </w:numPr>
        <w:tabs>
          <w:tab w:val="left" w:pos="1134"/>
        </w:tabs>
        <w:autoSpaceDE w:val="0"/>
        <w:autoSpaceDN w:val="0"/>
        <w:adjustRightInd w:val="0"/>
        <w:spacing w:after="0" w:line="240" w:lineRule="auto"/>
        <w:ind w:left="1134" w:hanging="425"/>
        <w:jc w:val="both"/>
        <w:rPr>
          <w:rFonts w:ascii="Century Gothic" w:hAnsi="Century Gothic"/>
        </w:rPr>
      </w:pPr>
      <w:r w:rsidRPr="003A55A1">
        <w:rPr>
          <w:rFonts w:ascii="Century Gothic" w:hAnsi="Century Gothic"/>
        </w:rPr>
        <w:t>Ingresos de gestión – Se refieren a los ingresos provenientes de la operación propia del organismo, principalmente de la renta de instalaciones y entradas a las feria.</w:t>
      </w:r>
    </w:p>
    <w:p w:rsidR="007D7913" w:rsidRPr="003A55A1" w:rsidRDefault="007D7913" w:rsidP="00146171">
      <w:pPr>
        <w:tabs>
          <w:tab w:val="left" w:pos="1134"/>
        </w:tabs>
        <w:autoSpaceDE w:val="0"/>
        <w:autoSpaceDN w:val="0"/>
        <w:adjustRightInd w:val="0"/>
        <w:spacing w:after="0" w:line="240" w:lineRule="auto"/>
        <w:ind w:left="1134" w:hanging="425"/>
        <w:jc w:val="both"/>
        <w:rPr>
          <w:rFonts w:ascii="Century Gothic" w:hAnsi="Century Gothic"/>
        </w:rPr>
      </w:pPr>
    </w:p>
    <w:p w:rsidR="007D7913" w:rsidRPr="003A55A1" w:rsidRDefault="007004EA" w:rsidP="00146171">
      <w:pPr>
        <w:numPr>
          <w:ilvl w:val="0"/>
          <w:numId w:val="4"/>
        </w:numPr>
        <w:tabs>
          <w:tab w:val="left" w:pos="1134"/>
        </w:tabs>
        <w:autoSpaceDE w:val="0"/>
        <w:autoSpaceDN w:val="0"/>
        <w:adjustRightInd w:val="0"/>
        <w:spacing w:after="0" w:line="240" w:lineRule="auto"/>
        <w:ind w:left="1134" w:hanging="425"/>
        <w:jc w:val="both"/>
        <w:rPr>
          <w:rFonts w:ascii="Century Gothic" w:hAnsi="Century Gothic"/>
        </w:rPr>
      </w:pPr>
      <w:r w:rsidRPr="003A55A1">
        <w:rPr>
          <w:rFonts w:ascii="Century Gothic" w:hAnsi="Century Gothic"/>
        </w:rPr>
        <w:t>Ingresos Financieros</w:t>
      </w:r>
      <w:r w:rsidR="007D7913" w:rsidRPr="003A55A1">
        <w:rPr>
          <w:rFonts w:ascii="Century Gothic" w:hAnsi="Century Gothic"/>
        </w:rPr>
        <w:t xml:space="preserve"> – Representan los ingresos que obtiene el Patronato por concepto de intereses financieros y son reconocidos en el momento en el que se conocen.</w:t>
      </w:r>
    </w:p>
    <w:p w:rsidR="007D7913" w:rsidRPr="003A55A1" w:rsidRDefault="007D7913" w:rsidP="00146171">
      <w:pPr>
        <w:pStyle w:val="Prrafodelista"/>
        <w:spacing w:after="0" w:line="240" w:lineRule="auto"/>
        <w:ind w:left="1134" w:hanging="425"/>
        <w:jc w:val="both"/>
        <w:rPr>
          <w:rFonts w:ascii="Century Gothic" w:hAnsi="Century Gothic"/>
          <w:lang w:val="es-ES"/>
        </w:rPr>
      </w:pPr>
    </w:p>
    <w:p w:rsidR="007D7913" w:rsidRPr="003A55A1" w:rsidRDefault="007D7913" w:rsidP="00146171">
      <w:pPr>
        <w:numPr>
          <w:ilvl w:val="0"/>
          <w:numId w:val="4"/>
        </w:numPr>
        <w:tabs>
          <w:tab w:val="left" w:pos="1134"/>
        </w:tabs>
        <w:autoSpaceDE w:val="0"/>
        <w:autoSpaceDN w:val="0"/>
        <w:adjustRightInd w:val="0"/>
        <w:spacing w:after="0" w:line="240" w:lineRule="auto"/>
        <w:ind w:left="1134" w:hanging="425"/>
        <w:jc w:val="both"/>
        <w:rPr>
          <w:rFonts w:ascii="Century Gothic" w:hAnsi="Century Gothic"/>
        </w:rPr>
      </w:pPr>
      <w:r w:rsidRPr="003A55A1">
        <w:rPr>
          <w:rFonts w:ascii="Century Gothic" w:hAnsi="Century Gothic"/>
        </w:rPr>
        <w:t>Gastos de Funcionamiento – Comprende el importe del gasto por servicios personales, materiales, suministros y servicios generales no personales, necesarios para el funcionamiento del Patronato.</w:t>
      </w:r>
    </w:p>
    <w:p w:rsidR="007D7913" w:rsidRPr="003A55A1" w:rsidRDefault="007D7913" w:rsidP="00146171">
      <w:pPr>
        <w:pStyle w:val="Prrafodelista"/>
        <w:spacing w:after="0" w:line="240" w:lineRule="auto"/>
        <w:ind w:left="1134" w:hanging="425"/>
        <w:jc w:val="both"/>
        <w:rPr>
          <w:rFonts w:ascii="Century Gothic" w:hAnsi="Century Gothic"/>
          <w:lang w:val="es-ES"/>
        </w:rPr>
      </w:pPr>
    </w:p>
    <w:p w:rsidR="007D7913" w:rsidRPr="003A55A1" w:rsidRDefault="007D7913" w:rsidP="00146171">
      <w:pPr>
        <w:numPr>
          <w:ilvl w:val="0"/>
          <w:numId w:val="4"/>
        </w:numPr>
        <w:tabs>
          <w:tab w:val="left" w:pos="1134"/>
        </w:tabs>
        <w:autoSpaceDE w:val="0"/>
        <w:autoSpaceDN w:val="0"/>
        <w:adjustRightInd w:val="0"/>
        <w:spacing w:after="0" w:line="240" w:lineRule="auto"/>
        <w:ind w:left="1134" w:hanging="425"/>
        <w:jc w:val="both"/>
        <w:rPr>
          <w:rFonts w:ascii="Century Gothic" w:hAnsi="Century Gothic"/>
        </w:rPr>
      </w:pPr>
      <w:r w:rsidRPr="003A55A1">
        <w:rPr>
          <w:rFonts w:ascii="Century Gothic" w:hAnsi="Century Gothic"/>
        </w:rPr>
        <w:t>Transferencias, asignaciones, subsidios y otras ayudas – Comprende el importe del gasto por las transferencias, asignaciones, subsidios y otras ayudas destinadas en forma directa o indirecta a los sectores público, privado y externo.</w:t>
      </w:r>
    </w:p>
    <w:p w:rsidR="007D7913" w:rsidRPr="003A55A1" w:rsidRDefault="007D7913" w:rsidP="00146171">
      <w:pPr>
        <w:pStyle w:val="Prrafodelista"/>
        <w:spacing w:after="0" w:line="240" w:lineRule="auto"/>
        <w:ind w:left="1134" w:hanging="425"/>
        <w:jc w:val="both"/>
        <w:rPr>
          <w:rFonts w:ascii="Century Gothic" w:hAnsi="Century Gothic"/>
          <w:lang w:val="es-ES"/>
        </w:rPr>
      </w:pPr>
    </w:p>
    <w:p w:rsidR="007D7913" w:rsidRPr="003A55A1" w:rsidRDefault="007D7913" w:rsidP="00146171">
      <w:pPr>
        <w:numPr>
          <w:ilvl w:val="0"/>
          <w:numId w:val="4"/>
        </w:numPr>
        <w:tabs>
          <w:tab w:val="left" w:pos="1134"/>
        </w:tabs>
        <w:autoSpaceDE w:val="0"/>
        <w:autoSpaceDN w:val="0"/>
        <w:adjustRightInd w:val="0"/>
        <w:spacing w:after="0" w:line="240" w:lineRule="auto"/>
        <w:ind w:left="1134" w:hanging="425"/>
        <w:jc w:val="both"/>
        <w:rPr>
          <w:rFonts w:ascii="Century Gothic" w:hAnsi="Century Gothic"/>
        </w:rPr>
      </w:pPr>
      <w:r w:rsidRPr="003A55A1">
        <w:rPr>
          <w:rFonts w:ascii="Century Gothic" w:hAnsi="Century Gothic"/>
        </w:rPr>
        <w:t>Convenios – Comprende el importe del gasto por convenios del Patronato y reasignado por éste a otro a través de convenios para su ejecución.</w:t>
      </w:r>
    </w:p>
    <w:p w:rsidR="007D7913" w:rsidRPr="003A55A1" w:rsidRDefault="007D7913" w:rsidP="00146171">
      <w:pPr>
        <w:pStyle w:val="Prrafodelista"/>
        <w:spacing w:after="0" w:line="240" w:lineRule="auto"/>
        <w:ind w:left="1134" w:hanging="425"/>
        <w:jc w:val="both"/>
        <w:rPr>
          <w:rFonts w:ascii="Century Gothic" w:hAnsi="Century Gothic"/>
          <w:lang w:val="es-ES"/>
        </w:rPr>
      </w:pPr>
    </w:p>
    <w:p w:rsidR="007D7913" w:rsidRPr="003A55A1" w:rsidRDefault="007D7913" w:rsidP="00146171">
      <w:pPr>
        <w:numPr>
          <w:ilvl w:val="0"/>
          <w:numId w:val="4"/>
        </w:numPr>
        <w:tabs>
          <w:tab w:val="left" w:pos="1134"/>
        </w:tabs>
        <w:autoSpaceDE w:val="0"/>
        <w:autoSpaceDN w:val="0"/>
        <w:adjustRightInd w:val="0"/>
        <w:spacing w:after="0" w:line="240" w:lineRule="auto"/>
        <w:ind w:left="1134" w:hanging="425"/>
        <w:jc w:val="both"/>
        <w:rPr>
          <w:rFonts w:ascii="Century Gothic" w:hAnsi="Century Gothic"/>
        </w:rPr>
      </w:pPr>
      <w:r w:rsidRPr="003A55A1">
        <w:rPr>
          <w:rFonts w:ascii="Century Gothic" w:hAnsi="Century Gothic"/>
        </w:rPr>
        <w:t>Otros gastos y pérdidas extraordinarias – Comprende los importe del gasto principalmente por la depreciación de bienes muebles e inmuebles así como la amortización de activos intangibles.</w:t>
      </w:r>
    </w:p>
    <w:p w:rsidR="003951F0" w:rsidRPr="003A55A1" w:rsidRDefault="003951F0" w:rsidP="00146171">
      <w:pPr>
        <w:pStyle w:val="Prrafodelista"/>
        <w:jc w:val="both"/>
        <w:rPr>
          <w:rFonts w:ascii="Century Gothic" w:hAnsi="Century Gothic"/>
        </w:rPr>
      </w:pPr>
    </w:p>
    <w:p w:rsidR="003951F0" w:rsidRPr="003A55A1" w:rsidRDefault="003951F0" w:rsidP="00146171">
      <w:pPr>
        <w:numPr>
          <w:ilvl w:val="0"/>
          <w:numId w:val="4"/>
        </w:numPr>
        <w:tabs>
          <w:tab w:val="left" w:pos="1134"/>
        </w:tabs>
        <w:autoSpaceDE w:val="0"/>
        <w:autoSpaceDN w:val="0"/>
        <w:adjustRightInd w:val="0"/>
        <w:spacing w:after="0" w:line="240" w:lineRule="auto"/>
        <w:ind w:left="1134" w:hanging="425"/>
        <w:jc w:val="both"/>
        <w:rPr>
          <w:rFonts w:ascii="Century Gothic" w:hAnsi="Century Gothic"/>
        </w:rPr>
      </w:pPr>
      <w:r w:rsidRPr="003A55A1">
        <w:rPr>
          <w:rFonts w:ascii="Century Gothic" w:hAnsi="Century Gothic"/>
        </w:rPr>
        <w:t>Beneficios a  empleados-  Los  beneficios  por  prima  de  antigüedad e  indemnizaciones Se registran cuando se pagan</w:t>
      </w:r>
    </w:p>
    <w:p w:rsidR="00810DC8" w:rsidRPr="003A55A1" w:rsidRDefault="00810DC8" w:rsidP="00810DC8">
      <w:pPr>
        <w:spacing w:after="0" w:line="240" w:lineRule="auto"/>
        <w:jc w:val="both"/>
        <w:rPr>
          <w:rFonts w:ascii="Century Gothic" w:hAnsi="Century Gothic"/>
        </w:rPr>
      </w:pPr>
    </w:p>
    <w:p w:rsidR="00810DC8" w:rsidRPr="003A55A1" w:rsidRDefault="00810DC8" w:rsidP="00146171">
      <w:pPr>
        <w:spacing w:after="0" w:line="240" w:lineRule="auto"/>
        <w:jc w:val="both"/>
        <w:rPr>
          <w:rFonts w:ascii="Century Gothic" w:hAnsi="Century Gothic"/>
          <w:b/>
        </w:rPr>
      </w:pPr>
      <w:r w:rsidRPr="003A55A1">
        <w:rPr>
          <w:rFonts w:ascii="Century Gothic" w:hAnsi="Century Gothic"/>
          <w:b/>
        </w:rPr>
        <w:lastRenderedPageBreak/>
        <w:t>7. Posición en Moneda Extranjera y Protección por Riesgo Cambiario:</w:t>
      </w:r>
      <w:r w:rsidRPr="003A55A1">
        <w:rPr>
          <w:rFonts w:ascii="Century Gothic" w:hAnsi="Century Gothic"/>
          <w:b/>
        </w:rPr>
        <w:tab/>
      </w:r>
      <w:r w:rsidRPr="003A55A1">
        <w:rPr>
          <w:rFonts w:ascii="Century Gothic" w:hAnsi="Century Gothic"/>
          <w:b/>
        </w:rPr>
        <w:tab/>
      </w:r>
      <w:r w:rsidRPr="003A55A1">
        <w:rPr>
          <w:rFonts w:ascii="Century Gothic" w:hAnsi="Century Gothic"/>
          <w:b/>
        </w:rPr>
        <w:tab/>
      </w:r>
    </w:p>
    <w:p w:rsidR="002A78AC" w:rsidRPr="003A55A1" w:rsidRDefault="002A78AC" w:rsidP="00980BCD">
      <w:pPr>
        <w:tabs>
          <w:tab w:val="left" w:pos="1134"/>
        </w:tabs>
        <w:autoSpaceDE w:val="0"/>
        <w:autoSpaceDN w:val="0"/>
        <w:adjustRightInd w:val="0"/>
        <w:spacing w:after="0" w:line="240" w:lineRule="auto"/>
        <w:jc w:val="both"/>
        <w:rPr>
          <w:rFonts w:ascii="Century Gothic" w:hAnsi="Century Gothic"/>
        </w:rPr>
      </w:pPr>
      <w:r w:rsidRPr="003A55A1">
        <w:rPr>
          <w:rFonts w:ascii="Century Gothic" w:hAnsi="Century Gothic"/>
        </w:rPr>
        <w:t>Cuando  E</w:t>
      </w:r>
      <w:r w:rsidR="00980BCD" w:rsidRPr="003A55A1">
        <w:rPr>
          <w:rFonts w:ascii="Century Gothic" w:hAnsi="Century Gothic"/>
        </w:rPr>
        <w:t>l Patronato</w:t>
      </w:r>
      <w:r w:rsidRPr="003A55A1">
        <w:rPr>
          <w:rFonts w:ascii="Century Gothic" w:hAnsi="Century Gothic"/>
        </w:rPr>
        <w:t xml:space="preserve"> contrata espectáculos del extranjero mismos que tienen que  ser liquidados en moneda extranjera,  como cobertura  se  adquieren dólares para  asegurar  el tipo  de cambio a  una fecha  determinada  y no  tener  un riesgo por un incremento futuro importante  en  tipo  de cambio</w:t>
      </w:r>
      <w:r w:rsidR="00980BCD" w:rsidRPr="003A55A1">
        <w:rPr>
          <w:rFonts w:ascii="Century Gothic" w:hAnsi="Century Gothic"/>
        </w:rPr>
        <w:t>.</w:t>
      </w:r>
    </w:p>
    <w:p w:rsidR="00980BCD" w:rsidRPr="003A55A1" w:rsidRDefault="00980BCD" w:rsidP="00980BCD">
      <w:pPr>
        <w:tabs>
          <w:tab w:val="left" w:pos="1134"/>
        </w:tabs>
        <w:autoSpaceDE w:val="0"/>
        <w:autoSpaceDN w:val="0"/>
        <w:adjustRightInd w:val="0"/>
        <w:spacing w:after="0" w:line="240" w:lineRule="auto"/>
        <w:jc w:val="both"/>
        <w:rPr>
          <w:rFonts w:ascii="Century Gothic" w:hAnsi="Century Gothic"/>
        </w:rPr>
      </w:pPr>
      <w:r w:rsidRPr="003A55A1">
        <w:rPr>
          <w:rFonts w:ascii="Century Gothic" w:hAnsi="Century Gothic"/>
        </w:rPr>
        <w:t xml:space="preserve"> </w:t>
      </w:r>
    </w:p>
    <w:p w:rsidR="00152C6F" w:rsidRPr="003A55A1" w:rsidRDefault="00980BCD" w:rsidP="00980BCD">
      <w:pPr>
        <w:tabs>
          <w:tab w:val="left" w:pos="1134"/>
        </w:tabs>
        <w:autoSpaceDE w:val="0"/>
        <w:autoSpaceDN w:val="0"/>
        <w:adjustRightInd w:val="0"/>
        <w:spacing w:after="0" w:line="240" w:lineRule="auto"/>
        <w:jc w:val="both"/>
        <w:rPr>
          <w:rFonts w:ascii="Century Gothic" w:hAnsi="Century Gothic"/>
          <w:sz w:val="20"/>
          <w:szCs w:val="20"/>
        </w:rPr>
      </w:pPr>
      <w:r w:rsidRPr="003A55A1">
        <w:rPr>
          <w:rFonts w:ascii="Century Gothic" w:hAnsi="Century Gothic"/>
        </w:rPr>
        <w:t xml:space="preserve">Las fluctuaciones cambiarias se registran en cuentas  contables  del estado de actividades. </w:t>
      </w:r>
      <w:r w:rsidRPr="003A55A1">
        <w:rPr>
          <w:rFonts w:ascii="Century Gothic" w:hAnsi="Century Gothic"/>
        </w:rPr>
        <w:br/>
      </w:r>
    </w:p>
    <w:p w:rsidR="00810DC8" w:rsidRPr="003A55A1" w:rsidRDefault="00980BCD" w:rsidP="002A78AC">
      <w:pPr>
        <w:tabs>
          <w:tab w:val="left" w:pos="1134"/>
        </w:tabs>
        <w:autoSpaceDE w:val="0"/>
        <w:autoSpaceDN w:val="0"/>
        <w:adjustRightInd w:val="0"/>
        <w:spacing w:after="0" w:line="240" w:lineRule="auto"/>
        <w:rPr>
          <w:rFonts w:ascii="Century Gothic" w:hAnsi="Century Gothic"/>
          <w:sz w:val="20"/>
          <w:szCs w:val="20"/>
        </w:rPr>
      </w:pPr>
      <w:r w:rsidRPr="003A55A1">
        <w:rPr>
          <w:rFonts w:ascii="Century Gothic" w:hAnsi="Century Gothic"/>
          <w:sz w:val="20"/>
          <w:szCs w:val="20"/>
        </w:rPr>
        <w:t xml:space="preserve"> Rie</w:t>
      </w:r>
      <w:r w:rsidR="002A78AC" w:rsidRPr="003A55A1">
        <w:rPr>
          <w:rFonts w:ascii="Century Gothic" w:hAnsi="Century Gothic"/>
          <w:sz w:val="20"/>
          <w:szCs w:val="20"/>
        </w:rPr>
        <w:t>s</w:t>
      </w:r>
      <w:r w:rsidRPr="003A55A1">
        <w:rPr>
          <w:rFonts w:ascii="Century Gothic" w:hAnsi="Century Gothic"/>
          <w:sz w:val="20"/>
          <w:szCs w:val="20"/>
        </w:rPr>
        <w:t>gos por tipo de cambio o tipo de interés de las inversiones financieras:</w:t>
      </w:r>
      <w:r w:rsidRPr="003A55A1">
        <w:t xml:space="preserve"> </w:t>
      </w:r>
      <w:r w:rsidRPr="003A55A1">
        <w:rPr>
          <w:rFonts w:ascii="Century Gothic" w:hAnsi="Century Gothic"/>
          <w:sz w:val="20"/>
          <w:szCs w:val="20"/>
        </w:rPr>
        <w:br/>
      </w:r>
      <w:r w:rsidRPr="003A55A1">
        <w:t> </w:t>
      </w:r>
      <w:r w:rsidRPr="003A55A1">
        <w:rPr>
          <w:rFonts w:ascii="Century Gothic" w:hAnsi="Century Gothic"/>
          <w:sz w:val="20"/>
          <w:szCs w:val="20"/>
        </w:rPr>
        <w:br/>
        <w:t>El Patronato tiene riesgo por  la fluctuación  en el  tipo de  cambio  del peso mexicano respecto de  la moneda  extranjera y no ha contratado ninguna protección por riesgo cambiario</w:t>
      </w:r>
      <w:r w:rsidR="002A78AC" w:rsidRPr="003A55A1">
        <w:rPr>
          <w:rFonts w:ascii="Century Gothic" w:hAnsi="Century Gothic"/>
          <w:sz w:val="20"/>
          <w:szCs w:val="20"/>
        </w:rPr>
        <w:t>, excepto la estrategia  financiera  mencionada en el primer párrafo</w:t>
      </w:r>
      <w:r w:rsidRPr="003A55A1">
        <w:rPr>
          <w:rFonts w:ascii="Century Gothic" w:hAnsi="Century Gothic"/>
          <w:sz w:val="20"/>
          <w:szCs w:val="20"/>
        </w:rPr>
        <w:t xml:space="preserve">. </w:t>
      </w:r>
      <w:r w:rsidRPr="003A55A1">
        <w:rPr>
          <w:rFonts w:ascii="Century Gothic" w:hAnsi="Century Gothic"/>
          <w:sz w:val="20"/>
          <w:szCs w:val="20"/>
        </w:rPr>
        <w:br/>
      </w:r>
    </w:p>
    <w:p w:rsidR="003951F0" w:rsidRPr="003A55A1" w:rsidRDefault="003951F0" w:rsidP="00146171">
      <w:pPr>
        <w:pStyle w:val="Sinespaciado"/>
        <w:jc w:val="both"/>
        <w:rPr>
          <w:rFonts w:ascii="Century Gothic" w:hAnsi="Century Gothic"/>
        </w:rPr>
      </w:pPr>
    </w:p>
    <w:p w:rsidR="00810DC8" w:rsidRPr="003A55A1" w:rsidRDefault="00810DC8" w:rsidP="00146171">
      <w:pPr>
        <w:pStyle w:val="Sinespaciado"/>
        <w:jc w:val="both"/>
        <w:rPr>
          <w:rFonts w:ascii="Century Gothic" w:hAnsi="Century Gothic"/>
          <w:b/>
          <w:u w:val="single"/>
        </w:rPr>
      </w:pPr>
      <w:r w:rsidRPr="003A55A1">
        <w:rPr>
          <w:rFonts w:ascii="Century Gothic" w:hAnsi="Century Gothic"/>
          <w:b/>
          <w:u w:val="single"/>
        </w:rPr>
        <w:t>8.-Reporte analítico del activo</w:t>
      </w:r>
    </w:p>
    <w:p w:rsidR="00810DC8" w:rsidRPr="003A55A1" w:rsidRDefault="00810DC8" w:rsidP="00146171">
      <w:pPr>
        <w:pStyle w:val="Sinespaciado"/>
        <w:jc w:val="both"/>
        <w:rPr>
          <w:rFonts w:ascii="Century Gothic" w:hAnsi="Century Gothic"/>
        </w:rPr>
      </w:pPr>
    </w:p>
    <w:p w:rsidR="00810DC8" w:rsidRPr="003A55A1" w:rsidRDefault="00810DC8" w:rsidP="00146171">
      <w:pPr>
        <w:pStyle w:val="Sinespaciado"/>
        <w:jc w:val="both"/>
        <w:rPr>
          <w:rFonts w:ascii="Century Gothic" w:hAnsi="Century Gothic"/>
        </w:rPr>
      </w:pPr>
      <w:r w:rsidRPr="003A55A1">
        <w:rPr>
          <w:rFonts w:ascii="Century Gothic" w:hAnsi="Century Gothic"/>
        </w:rPr>
        <w:t xml:space="preserve">a) vida útil o porcentajes de depreciación, deterioro o amortización utilizados en los diferentes tipos de activos. </w:t>
      </w:r>
    </w:p>
    <w:p w:rsidR="00810DC8" w:rsidRPr="003A55A1" w:rsidRDefault="00810DC8" w:rsidP="00146171">
      <w:pPr>
        <w:pStyle w:val="Sinespaciado"/>
        <w:jc w:val="both"/>
        <w:rPr>
          <w:rFonts w:ascii="Century Gothic" w:hAnsi="Century Gothic"/>
        </w:rPr>
      </w:pPr>
    </w:p>
    <w:p w:rsidR="00810DC8" w:rsidRPr="003A55A1" w:rsidRDefault="00810DC8" w:rsidP="00146171">
      <w:pPr>
        <w:pStyle w:val="Sinespaciado"/>
        <w:jc w:val="both"/>
        <w:rPr>
          <w:rFonts w:ascii="Century Gothic" w:hAnsi="Century Gothic"/>
        </w:rPr>
      </w:pPr>
    </w:p>
    <w:p w:rsidR="00810DC8" w:rsidRPr="003A55A1" w:rsidRDefault="00810DC8" w:rsidP="00146171">
      <w:pPr>
        <w:pStyle w:val="Sinespaciado"/>
        <w:jc w:val="both"/>
        <w:rPr>
          <w:rFonts w:ascii="Century Gothic" w:hAnsi="Century Gothic"/>
        </w:rPr>
      </w:pPr>
      <w:r w:rsidRPr="003A55A1">
        <w:rPr>
          <w:rFonts w:ascii="Century Gothic" w:hAnsi="Century Gothic"/>
        </w:rPr>
        <w:t xml:space="preserve">Las  tasas  de  depreciación  utilizadas  para  la depreciación  acumulada  y  del  ejercicio y que  se  mencionan  a  continuación,  fueron  determinadas  en  base  a  los  años  de   vida  útil  que  estima  el  Patronato, para  su  determinación  se  tomó  en consideración  </w:t>
      </w:r>
      <w:r w:rsidR="00876A49" w:rsidRPr="003A55A1">
        <w:rPr>
          <w:rFonts w:ascii="Century Gothic" w:hAnsi="Century Gothic"/>
        </w:rPr>
        <w:t xml:space="preserve">entre otros </w:t>
      </w:r>
      <w:r w:rsidRPr="003A55A1">
        <w:rPr>
          <w:rFonts w:ascii="Century Gothic" w:hAnsi="Century Gothic"/>
        </w:rPr>
        <w:t>el  documento  denominado “Parámetros  de  vida  útil”  emitido  por  el CONAC:</w:t>
      </w:r>
    </w:p>
    <w:p w:rsidR="00810DC8" w:rsidRPr="003A55A1" w:rsidRDefault="00810DC8" w:rsidP="00810DC8">
      <w:pPr>
        <w:pStyle w:val="Sinespaciado"/>
        <w:jc w:val="both"/>
        <w:rPr>
          <w:rFonts w:ascii="Century Gothic" w:hAnsi="Century Gothic"/>
        </w:rPr>
      </w:pPr>
    </w:p>
    <w:p w:rsidR="00810DC8" w:rsidRPr="003A55A1" w:rsidRDefault="00810DC8" w:rsidP="00810DC8">
      <w:pPr>
        <w:pStyle w:val="Sinespaciado"/>
        <w:jc w:val="both"/>
        <w:rPr>
          <w:rFonts w:ascii="Century Gothic" w:hAnsi="Century Gothic"/>
        </w:rPr>
      </w:pPr>
    </w:p>
    <w:p w:rsidR="00810DC8" w:rsidRPr="003A55A1" w:rsidRDefault="00810DC8" w:rsidP="00810DC8">
      <w:pPr>
        <w:pStyle w:val="Sinespaciado"/>
        <w:jc w:val="both"/>
        <w:rPr>
          <w:rFonts w:ascii="Century Gothic" w:hAnsi="Century Gothic"/>
        </w:rPr>
      </w:pPr>
    </w:p>
    <w:tbl>
      <w:tblPr>
        <w:tblW w:w="7730" w:type="dxa"/>
        <w:jc w:val="center"/>
        <w:tblCellMar>
          <w:left w:w="72" w:type="dxa"/>
          <w:right w:w="72" w:type="dxa"/>
        </w:tblCellMar>
        <w:tblLook w:val="0000" w:firstRow="0" w:lastRow="0" w:firstColumn="0" w:lastColumn="0" w:noHBand="0" w:noVBand="0"/>
      </w:tblPr>
      <w:tblGrid>
        <w:gridCol w:w="5327"/>
        <w:gridCol w:w="811"/>
        <w:gridCol w:w="1592"/>
      </w:tblGrid>
      <w:tr w:rsidR="00810DC8" w:rsidRPr="003A55A1" w:rsidTr="00497CED">
        <w:trPr>
          <w:trHeight w:val="20"/>
          <w:tblHeader/>
          <w:jc w:val="center"/>
        </w:trPr>
        <w:tc>
          <w:tcPr>
            <w:tcW w:w="5565" w:type="dxa"/>
            <w:tcBorders>
              <w:top w:val="single" w:sz="6" w:space="0" w:color="auto"/>
              <w:left w:val="single" w:sz="6" w:space="0" w:color="auto"/>
              <w:bottom w:val="single" w:sz="6" w:space="0" w:color="auto"/>
              <w:right w:val="single" w:sz="6" w:space="0" w:color="auto"/>
            </w:tcBorders>
            <w:shd w:val="pct12" w:color="auto" w:fill="auto"/>
            <w:vAlign w:val="center"/>
          </w:tcPr>
          <w:p w:rsidR="00810DC8" w:rsidRPr="003A55A1" w:rsidRDefault="00810DC8" w:rsidP="00497CED">
            <w:pPr>
              <w:pStyle w:val="Texto"/>
              <w:spacing w:line="240" w:lineRule="exact"/>
              <w:ind w:firstLine="0"/>
              <w:jc w:val="center"/>
              <w:rPr>
                <w:rFonts w:ascii="Century Gothic" w:hAnsi="Century Gothic" w:cs="Arial"/>
                <w:b/>
                <w:color w:val="000000"/>
                <w:sz w:val="22"/>
                <w:szCs w:val="22"/>
                <w:lang w:val="es-MX"/>
              </w:rPr>
            </w:pPr>
            <w:r w:rsidRPr="003A55A1">
              <w:rPr>
                <w:rFonts w:ascii="Century Gothic" w:hAnsi="Century Gothic" w:cs="Arial"/>
                <w:b/>
                <w:color w:val="000000"/>
                <w:sz w:val="22"/>
                <w:szCs w:val="22"/>
                <w:lang w:val="es-MX"/>
              </w:rPr>
              <w:t>Concepto</w:t>
            </w:r>
          </w:p>
        </w:tc>
        <w:tc>
          <w:tcPr>
            <w:tcW w:w="820" w:type="dxa"/>
            <w:tcBorders>
              <w:top w:val="single" w:sz="6" w:space="0" w:color="auto"/>
              <w:left w:val="single" w:sz="6" w:space="0" w:color="auto"/>
              <w:bottom w:val="single" w:sz="6" w:space="0" w:color="auto"/>
              <w:right w:val="single" w:sz="6" w:space="0" w:color="auto"/>
            </w:tcBorders>
            <w:shd w:val="pct12" w:color="auto" w:fill="auto"/>
            <w:vAlign w:val="center"/>
          </w:tcPr>
          <w:p w:rsidR="00810DC8" w:rsidRPr="003A55A1" w:rsidRDefault="00810DC8" w:rsidP="00497CED">
            <w:pPr>
              <w:pStyle w:val="Texto"/>
              <w:spacing w:line="240" w:lineRule="exact"/>
              <w:ind w:firstLine="0"/>
              <w:jc w:val="center"/>
              <w:rPr>
                <w:rFonts w:ascii="Century Gothic" w:hAnsi="Century Gothic" w:cs="Arial"/>
                <w:b/>
                <w:color w:val="000000"/>
                <w:sz w:val="22"/>
                <w:szCs w:val="22"/>
                <w:lang w:val="es-MX"/>
              </w:rPr>
            </w:pPr>
            <w:r w:rsidRPr="003A55A1">
              <w:rPr>
                <w:rFonts w:ascii="Century Gothic" w:hAnsi="Century Gothic" w:cs="Arial"/>
                <w:b/>
                <w:color w:val="000000"/>
                <w:sz w:val="22"/>
                <w:szCs w:val="22"/>
                <w:lang w:val="es-MX"/>
              </w:rPr>
              <w:t>Años de vida útil</w:t>
            </w:r>
          </w:p>
        </w:tc>
        <w:tc>
          <w:tcPr>
            <w:tcW w:w="1345" w:type="dxa"/>
            <w:tcBorders>
              <w:top w:val="single" w:sz="6" w:space="0" w:color="auto"/>
              <w:left w:val="single" w:sz="6" w:space="0" w:color="auto"/>
              <w:bottom w:val="single" w:sz="6" w:space="0" w:color="auto"/>
              <w:right w:val="single" w:sz="6" w:space="0" w:color="auto"/>
            </w:tcBorders>
            <w:shd w:val="pct12" w:color="auto" w:fill="auto"/>
            <w:vAlign w:val="center"/>
          </w:tcPr>
          <w:p w:rsidR="00810DC8" w:rsidRPr="003A55A1" w:rsidRDefault="00810DC8" w:rsidP="00497CED">
            <w:pPr>
              <w:pStyle w:val="Texto"/>
              <w:spacing w:line="240" w:lineRule="exact"/>
              <w:ind w:firstLine="0"/>
              <w:jc w:val="center"/>
              <w:rPr>
                <w:rFonts w:ascii="Century Gothic" w:hAnsi="Century Gothic" w:cs="Arial"/>
                <w:b/>
                <w:color w:val="000000"/>
                <w:sz w:val="22"/>
                <w:szCs w:val="22"/>
                <w:lang w:val="es-MX"/>
              </w:rPr>
            </w:pPr>
            <w:r w:rsidRPr="003A55A1">
              <w:rPr>
                <w:rFonts w:ascii="Century Gothic" w:hAnsi="Century Gothic" w:cs="Arial"/>
                <w:b/>
                <w:color w:val="000000"/>
                <w:sz w:val="22"/>
                <w:szCs w:val="22"/>
                <w:lang w:val="es-MX"/>
              </w:rPr>
              <w:t>% de depreciación anual</w:t>
            </w:r>
          </w:p>
        </w:tc>
      </w:tr>
      <w:tr w:rsidR="00810DC8" w:rsidRPr="003A55A1" w:rsidTr="00497CED">
        <w:trPr>
          <w:trHeight w:val="20"/>
          <w:jc w:val="center"/>
        </w:trPr>
        <w:tc>
          <w:tcPr>
            <w:tcW w:w="7730" w:type="dxa"/>
            <w:gridSpan w:val="3"/>
            <w:tcBorders>
              <w:top w:val="single" w:sz="6" w:space="0" w:color="auto"/>
              <w:left w:val="single" w:sz="6" w:space="0" w:color="auto"/>
              <w:bottom w:val="single" w:sz="6" w:space="0" w:color="auto"/>
              <w:right w:val="single" w:sz="6" w:space="0" w:color="auto"/>
            </w:tcBorders>
            <w:vAlign w:val="center"/>
          </w:tcPr>
          <w:p w:rsidR="00810DC8" w:rsidRPr="003A55A1" w:rsidRDefault="00810DC8" w:rsidP="00497CED">
            <w:pPr>
              <w:pStyle w:val="Texto"/>
              <w:spacing w:line="240" w:lineRule="exact"/>
              <w:ind w:firstLine="0"/>
              <w:rPr>
                <w:rFonts w:ascii="Century Gothic" w:hAnsi="Century Gothic" w:cs="Arial"/>
                <w:b/>
                <w:color w:val="000000"/>
                <w:sz w:val="22"/>
                <w:szCs w:val="22"/>
                <w:lang w:val="es-MX"/>
              </w:rPr>
            </w:pPr>
            <w:r w:rsidRPr="003A55A1">
              <w:rPr>
                <w:rFonts w:ascii="Century Gothic" w:hAnsi="Century Gothic" w:cs="Arial"/>
                <w:b/>
                <w:color w:val="000000"/>
                <w:sz w:val="22"/>
                <w:szCs w:val="22"/>
                <w:lang w:val="es-MX"/>
              </w:rPr>
              <w:t xml:space="preserve">BIENES INMUEBLES, INFRAESTRUCTURA Y </w:t>
            </w:r>
          </w:p>
          <w:p w:rsidR="00810DC8" w:rsidRPr="003A55A1" w:rsidRDefault="00810DC8" w:rsidP="00497CED">
            <w:pPr>
              <w:pStyle w:val="Texto"/>
              <w:spacing w:line="240" w:lineRule="exact"/>
              <w:ind w:firstLine="0"/>
              <w:rPr>
                <w:rFonts w:ascii="Century Gothic" w:hAnsi="Century Gothic" w:cs="Arial"/>
                <w:color w:val="000000"/>
                <w:sz w:val="22"/>
                <w:szCs w:val="22"/>
                <w:lang w:val="es-MX"/>
              </w:rPr>
            </w:pPr>
            <w:r w:rsidRPr="003A55A1">
              <w:rPr>
                <w:rFonts w:ascii="Century Gothic" w:hAnsi="Century Gothic" w:cs="Arial"/>
                <w:b/>
                <w:color w:val="000000"/>
                <w:sz w:val="22"/>
                <w:szCs w:val="22"/>
                <w:lang w:val="es-MX"/>
              </w:rPr>
              <w:t>CONSTRUCCIONES EN PROCESO</w:t>
            </w:r>
          </w:p>
        </w:tc>
      </w:tr>
      <w:tr w:rsidR="00810DC8" w:rsidRPr="003A55A1" w:rsidTr="00497CED">
        <w:trPr>
          <w:trHeight w:val="20"/>
          <w:jc w:val="center"/>
        </w:trPr>
        <w:tc>
          <w:tcPr>
            <w:tcW w:w="5565" w:type="dxa"/>
            <w:tcBorders>
              <w:top w:val="single" w:sz="6" w:space="0" w:color="auto"/>
              <w:left w:val="single" w:sz="6" w:space="0" w:color="auto"/>
              <w:bottom w:val="single" w:sz="6" w:space="0" w:color="auto"/>
              <w:right w:val="single" w:sz="6" w:space="0" w:color="auto"/>
            </w:tcBorders>
            <w:vAlign w:val="center"/>
          </w:tcPr>
          <w:p w:rsidR="00810DC8" w:rsidRPr="003A55A1" w:rsidRDefault="00810DC8" w:rsidP="00497CED">
            <w:pPr>
              <w:pStyle w:val="Texto"/>
              <w:spacing w:line="240" w:lineRule="exact"/>
              <w:ind w:firstLine="0"/>
              <w:rPr>
                <w:rFonts w:ascii="Century Gothic" w:hAnsi="Century Gothic" w:cs="Arial"/>
                <w:color w:val="000000"/>
                <w:sz w:val="22"/>
                <w:szCs w:val="22"/>
                <w:lang w:val="es-MX"/>
              </w:rPr>
            </w:pPr>
            <w:r w:rsidRPr="003A55A1">
              <w:rPr>
                <w:rFonts w:ascii="Century Gothic" w:hAnsi="Century Gothic" w:cs="Arial"/>
                <w:color w:val="000000"/>
                <w:sz w:val="22"/>
                <w:szCs w:val="22"/>
                <w:lang w:val="es-MX"/>
              </w:rPr>
              <w:t>Otros Bienes Inmuebles</w:t>
            </w:r>
          </w:p>
        </w:tc>
        <w:tc>
          <w:tcPr>
            <w:tcW w:w="820" w:type="dxa"/>
            <w:tcBorders>
              <w:top w:val="single" w:sz="6" w:space="0" w:color="auto"/>
              <w:left w:val="single" w:sz="6" w:space="0" w:color="auto"/>
              <w:bottom w:val="single" w:sz="6" w:space="0" w:color="auto"/>
              <w:right w:val="single" w:sz="6" w:space="0" w:color="auto"/>
            </w:tcBorders>
            <w:vAlign w:val="center"/>
          </w:tcPr>
          <w:p w:rsidR="00810DC8" w:rsidRPr="003A55A1" w:rsidRDefault="00810DC8" w:rsidP="00497CED">
            <w:pPr>
              <w:pStyle w:val="Texto"/>
              <w:spacing w:line="240" w:lineRule="exact"/>
              <w:ind w:firstLine="0"/>
              <w:jc w:val="center"/>
              <w:rPr>
                <w:rFonts w:ascii="Century Gothic" w:hAnsi="Century Gothic" w:cs="Arial"/>
                <w:color w:val="000000"/>
                <w:sz w:val="22"/>
                <w:szCs w:val="22"/>
                <w:lang w:val="es-MX"/>
              </w:rPr>
            </w:pPr>
            <w:r w:rsidRPr="003A55A1">
              <w:rPr>
                <w:rFonts w:ascii="Century Gothic" w:hAnsi="Century Gothic" w:cs="Arial"/>
                <w:color w:val="000000"/>
                <w:sz w:val="22"/>
                <w:szCs w:val="22"/>
                <w:lang w:val="es-MX"/>
              </w:rPr>
              <w:t>20</w:t>
            </w:r>
          </w:p>
        </w:tc>
        <w:tc>
          <w:tcPr>
            <w:tcW w:w="1345" w:type="dxa"/>
            <w:tcBorders>
              <w:top w:val="single" w:sz="6" w:space="0" w:color="auto"/>
              <w:left w:val="single" w:sz="6" w:space="0" w:color="auto"/>
              <w:bottom w:val="single" w:sz="6" w:space="0" w:color="auto"/>
              <w:right w:val="single" w:sz="6" w:space="0" w:color="auto"/>
            </w:tcBorders>
            <w:vAlign w:val="center"/>
          </w:tcPr>
          <w:p w:rsidR="00810DC8" w:rsidRPr="003A55A1" w:rsidRDefault="00810DC8" w:rsidP="00497CED">
            <w:pPr>
              <w:pStyle w:val="Texto"/>
              <w:spacing w:line="240" w:lineRule="exact"/>
              <w:ind w:firstLine="0"/>
              <w:jc w:val="center"/>
              <w:rPr>
                <w:rFonts w:ascii="Century Gothic" w:hAnsi="Century Gothic" w:cs="Arial"/>
                <w:color w:val="000000"/>
                <w:sz w:val="22"/>
                <w:szCs w:val="22"/>
                <w:lang w:val="es-MX"/>
              </w:rPr>
            </w:pPr>
            <w:r w:rsidRPr="003A55A1">
              <w:rPr>
                <w:rFonts w:ascii="Century Gothic" w:hAnsi="Century Gothic" w:cs="Arial"/>
                <w:color w:val="000000"/>
                <w:sz w:val="22"/>
                <w:szCs w:val="22"/>
                <w:lang w:val="es-MX"/>
              </w:rPr>
              <w:t>5</w:t>
            </w:r>
          </w:p>
        </w:tc>
      </w:tr>
      <w:tr w:rsidR="00810DC8" w:rsidRPr="003A55A1" w:rsidTr="00497CED">
        <w:trPr>
          <w:trHeight w:val="20"/>
          <w:jc w:val="center"/>
        </w:trPr>
        <w:tc>
          <w:tcPr>
            <w:tcW w:w="7730" w:type="dxa"/>
            <w:gridSpan w:val="3"/>
            <w:tcBorders>
              <w:top w:val="single" w:sz="6" w:space="0" w:color="auto"/>
              <w:left w:val="single" w:sz="6" w:space="0" w:color="auto"/>
              <w:bottom w:val="single" w:sz="6" w:space="0" w:color="auto"/>
              <w:right w:val="single" w:sz="6" w:space="0" w:color="auto"/>
            </w:tcBorders>
            <w:vAlign w:val="center"/>
          </w:tcPr>
          <w:p w:rsidR="00810DC8" w:rsidRPr="003A55A1" w:rsidRDefault="00810DC8" w:rsidP="00497CED">
            <w:pPr>
              <w:pStyle w:val="Texto"/>
              <w:spacing w:line="240" w:lineRule="exact"/>
              <w:ind w:firstLine="0"/>
              <w:rPr>
                <w:rFonts w:ascii="Century Gothic" w:hAnsi="Century Gothic" w:cs="Arial"/>
                <w:color w:val="000000"/>
                <w:sz w:val="22"/>
                <w:szCs w:val="22"/>
                <w:lang w:val="es-MX"/>
              </w:rPr>
            </w:pPr>
            <w:r w:rsidRPr="003A55A1">
              <w:rPr>
                <w:rFonts w:ascii="Century Gothic" w:hAnsi="Century Gothic" w:cs="Arial"/>
                <w:b/>
                <w:color w:val="000000"/>
                <w:sz w:val="22"/>
                <w:szCs w:val="22"/>
                <w:lang w:val="es-MX"/>
              </w:rPr>
              <w:t>BIENES MUEBLES</w:t>
            </w:r>
          </w:p>
        </w:tc>
      </w:tr>
      <w:tr w:rsidR="00810DC8" w:rsidRPr="003A55A1" w:rsidTr="00497CED">
        <w:trPr>
          <w:trHeight w:val="20"/>
          <w:jc w:val="center"/>
        </w:trPr>
        <w:tc>
          <w:tcPr>
            <w:tcW w:w="5565" w:type="dxa"/>
            <w:tcBorders>
              <w:top w:val="single" w:sz="6" w:space="0" w:color="auto"/>
              <w:left w:val="single" w:sz="6" w:space="0" w:color="auto"/>
              <w:bottom w:val="single" w:sz="6" w:space="0" w:color="auto"/>
              <w:right w:val="single" w:sz="6" w:space="0" w:color="auto"/>
            </w:tcBorders>
            <w:vAlign w:val="center"/>
          </w:tcPr>
          <w:p w:rsidR="00810DC8" w:rsidRPr="003A55A1" w:rsidRDefault="00810DC8" w:rsidP="00497CED">
            <w:pPr>
              <w:pStyle w:val="Texto"/>
              <w:spacing w:line="240" w:lineRule="exact"/>
              <w:ind w:firstLine="0"/>
              <w:rPr>
                <w:rFonts w:ascii="Century Gothic" w:hAnsi="Century Gothic" w:cs="Arial"/>
                <w:b/>
                <w:color w:val="000000"/>
                <w:sz w:val="22"/>
                <w:szCs w:val="22"/>
                <w:lang w:val="es-MX"/>
              </w:rPr>
            </w:pPr>
            <w:r w:rsidRPr="003A55A1">
              <w:rPr>
                <w:rFonts w:ascii="Century Gothic" w:hAnsi="Century Gothic" w:cs="Arial"/>
                <w:b/>
                <w:color w:val="000000"/>
                <w:sz w:val="22"/>
                <w:szCs w:val="22"/>
                <w:lang w:val="es-MX"/>
              </w:rPr>
              <w:t>Mobiliario y Equipo de Administración</w:t>
            </w:r>
          </w:p>
        </w:tc>
        <w:tc>
          <w:tcPr>
            <w:tcW w:w="820" w:type="dxa"/>
            <w:tcBorders>
              <w:top w:val="single" w:sz="6" w:space="0" w:color="auto"/>
              <w:left w:val="single" w:sz="6" w:space="0" w:color="auto"/>
              <w:bottom w:val="single" w:sz="6" w:space="0" w:color="auto"/>
              <w:right w:val="single" w:sz="6" w:space="0" w:color="auto"/>
            </w:tcBorders>
            <w:vAlign w:val="center"/>
          </w:tcPr>
          <w:p w:rsidR="00810DC8" w:rsidRPr="003A55A1" w:rsidRDefault="00810DC8" w:rsidP="00497CED">
            <w:pPr>
              <w:pStyle w:val="Texto"/>
              <w:spacing w:line="240" w:lineRule="exact"/>
              <w:ind w:firstLine="0"/>
              <w:jc w:val="center"/>
              <w:rPr>
                <w:rFonts w:ascii="Century Gothic" w:hAnsi="Century Gothic" w:cs="Arial"/>
                <w:color w:val="000000"/>
                <w:sz w:val="22"/>
                <w:szCs w:val="22"/>
                <w:lang w:val="es-MX"/>
              </w:rPr>
            </w:pPr>
          </w:p>
        </w:tc>
        <w:tc>
          <w:tcPr>
            <w:tcW w:w="1345" w:type="dxa"/>
            <w:tcBorders>
              <w:top w:val="single" w:sz="6" w:space="0" w:color="auto"/>
              <w:left w:val="single" w:sz="6" w:space="0" w:color="auto"/>
              <w:bottom w:val="single" w:sz="6" w:space="0" w:color="auto"/>
              <w:right w:val="single" w:sz="6" w:space="0" w:color="auto"/>
            </w:tcBorders>
            <w:vAlign w:val="center"/>
          </w:tcPr>
          <w:p w:rsidR="00810DC8" w:rsidRPr="003A55A1" w:rsidRDefault="00810DC8" w:rsidP="00497CED">
            <w:pPr>
              <w:pStyle w:val="Texto"/>
              <w:spacing w:line="240" w:lineRule="exact"/>
              <w:ind w:firstLine="0"/>
              <w:jc w:val="center"/>
              <w:rPr>
                <w:rFonts w:ascii="Century Gothic" w:hAnsi="Century Gothic" w:cs="Arial"/>
                <w:color w:val="000000"/>
                <w:sz w:val="22"/>
                <w:szCs w:val="22"/>
                <w:lang w:val="es-MX"/>
              </w:rPr>
            </w:pPr>
          </w:p>
        </w:tc>
      </w:tr>
      <w:tr w:rsidR="00810DC8" w:rsidRPr="003A55A1" w:rsidTr="00497CED">
        <w:trPr>
          <w:trHeight w:val="20"/>
          <w:jc w:val="center"/>
        </w:trPr>
        <w:tc>
          <w:tcPr>
            <w:tcW w:w="5565" w:type="dxa"/>
            <w:tcBorders>
              <w:top w:val="single" w:sz="6" w:space="0" w:color="auto"/>
              <w:left w:val="single" w:sz="6" w:space="0" w:color="auto"/>
              <w:bottom w:val="single" w:sz="6" w:space="0" w:color="auto"/>
              <w:right w:val="single" w:sz="6" w:space="0" w:color="auto"/>
            </w:tcBorders>
            <w:vAlign w:val="center"/>
          </w:tcPr>
          <w:p w:rsidR="00810DC8" w:rsidRPr="003A55A1" w:rsidRDefault="00810DC8" w:rsidP="00497CED">
            <w:pPr>
              <w:pStyle w:val="Texto"/>
              <w:spacing w:line="240" w:lineRule="exact"/>
              <w:ind w:firstLine="0"/>
              <w:rPr>
                <w:rFonts w:ascii="Century Gothic" w:hAnsi="Century Gothic" w:cs="Arial"/>
                <w:color w:val="000000"/>
                <w:sz w:val="22"/>
                <w:szCs w:val="22"/>
                <w:lang w:val="es-MX"/>
              </w:rPr>
            </w:pPr>
            <w:r w:rsidRPr="003A55A1">
              <w:rPr>
                <w:rFonts w:ascii="Century Gothic" w:hAnsi="Century Gothic" w:cs="Arial"/>
                <w:color w:val="000000"/>
                <w:sz w:val="22"/>
                <w:szCs w:val="22"/>
                <w:lang w:val="es-MX"/>
              </w:rPr>
              <w:t>Muebles de Oficina y Estantería</w:t>
            </w:r>
          </w:p>
        </w:tc>
        <w:tc>
          <w:tcPr>
            <w:tcW w:w="820" w:type="dxa"/>
            <w:tcBorders>
              <w:top w:val="single" w:sz="6" w:space="0" w:color="auto"/>
              <w:left w:val="single" w:sz="6" w:space="0" w:color="auto"/>
              <w:bottom w:val="single" w:sz="6" w:space="0" w:color="auto"/>
              <w:right w:val="single" w:sz="6" w:space="0" w:color="auto"/>
            </w:tcBorders>
            <w:vAlign w:val="center"/>
          </w:tcPr>
          <w:p w:rsidR="00810DC8" w:rsidRPr="003A55A1" w:rsidRDefault="00810DC8" w:rsidP="00497CED">
            <w:pPr>
              <w:pStyle w:val="Texto"/>
              <w:spacing w:line="240" w:lineRule="exact"/>
              <w:ind w:firstLine="0"/>
              <w:jc w:val="center"/>
              <w:rPr>
                <w:rFonts w:ascii="Century Gothic" w:hAnsi="Century Gothic" w:cs="Arial"/>
                <w:color w:val="000000"/>
                <w:sz w:val="22"/>
                <w:szCs w:val="22"/>
                <w:lang w:val="es-MX"/>
              </w:rPr>
            </w:pPr>
            <w:r w:rsidRPr="003A55A1">
              <w:rPr>
                <w:rFonts w:ascii="Century Gothic" w:hAnsi="Century Gothic" w:cs="Arial"/>
                <w:color w:val="000000"/>
                <w:sz w:val="22"/>
                <w:szCs w:val="22"/>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810DC8" w:rsidRPr="003A55A1" w:rsidRDefault="00810DC8" w:rsidP="00497CED">
            <w:pPr>
              <w:pStyle w:val="Texto"/>
              <w:spacing w:line="240" w:lineRule="exact"/>
              <w:ind w:firstLine="0"/>
              <w:jc w:val="center"/>
              <w:rPr>
                <w:rFonts w:ascii="Century Gothic" w:hAnsi="Century Gothic" w:cs="Arial"/>
                <w:color w:val="000000"/>
                <w:sz w:val="22"/>
                <w:szCs w:val="22"/>
                <w:lang w:val="es-MX"/>
              </w:rPr>
            </w:pPr>
            <w:r w:rsidRPr="003A55A1">
              <w:rPr>
                <w:rFonts w:ascii="Century Gothic" w:hAnsi="Century Gothic" w:cs="Arial"/>
                <w:color w:val="000000"/>
                <w:sz w:val="22"/>
                <w:szCs w:val="22"/>
                <w:lang w:val="es-MX"/>
              </w:rPr>
              <w:t>10</w:t>
            </w:r>
          </w:p>
        </w:tc>
      </w:tr>
      <w:tr w:rsidR="00810DC8" w:rsidRPr="003A55A1" w:rsidTr="00497CED">
        <w:trPr>
          <w:trHeight w:val="20"/>
          <w:jc w:val="center"/>
        </w:trPr>
        <w:tc>
          <w:tcPr>
            <w:tcW w:w="5565" w:type="dxa"/>
            <w:tcBorders>
              <w:top w:val="single" w:sz="6" w:space="0" w:color="auto"/>
              <w:left w:val="single" w:sz="6" w:space="0" w:color="auto"/>
              <w:bottom w:val="single" w:sz="6" w:space="0" w:color="auto"/>
              <w:right w:val="single" w:sz="6" w:space="0" w:color="auto"/>
            </w:tcBorders>
            <w:vAlign w:val="center"/>
          </w:tcPr>
          <w:p w:rsidR="00810DC8" w:rsidRPr="003A55A1" w:rsidRDefault="00810DC8" w:rsidP="00497CED">
            <w:pPr>
              <w:pStyle w:val="Texto"/>
              <w:spacing w:line="240" w:lineRule="exact"/>
              <w:ind w:firstLine="0"/>
              <w:rPr>
                <w:rFonts w:ascii="Century Gothic" w:hAnsi="Century Gothic" w:cs="Arial"/>
                <w:color w:val="000000"/>
                <w:sz w:val="22"/>
                <w:szCs w:val="22"/>
                <w:lang w:val="es-MX"/>
              </w:rPr>
            </w:pPr>
            <w:r w:rsidRPr="003A55A1">
              <w:rPr>
                <w:rFonts w:ascii="Century Gothic" w:hAnsi="Century Gothic" w:cs="Arial"/>
                <w:color w:val="000000"/>
                <w:sz w:val="22"/>
                <w:szCs w:val="22"/>
                <w:lang w:val="es-MX"/>
              </w:rPr>
              <w:t>Muebles, Excepto De Oficina Y Estantería</w:t>
            </w:r>
          </w:p>
        </w:tc>
        <w:tc>
          <w:tcPr>
            <w:tcW w:w="820" w:type="dxa"/>
            <w:tcBorders>
              <w:top w:val="single" w:sz="6" w:space="0" w:color="auto"/>
              <w:left w:val="single" w:sz="6" w:space="0" w:color="auto"/>
              <w:bottom w:val="single" w:sz="6" w:space="0" w:color="auto"/>
              <w:right w:val="single" w:sz="6" w:space="0" w:color="auto"/>
            </w:tcBorders>
            <w:vAlign w:val="center"/>
          </w:tcPr>
          <w:p w:rsidR="00810DC8" w:rsidRPr="003A55A1" w:rsidRDefault="00810DC8" w:rsidP="00497CED">
            <w:pPr>
              <w:pStyle w:val="Texto"/>
              <w:spacing w:line="240" w:lineRule="exact"/>
              <w:ind w:firstLine="0"/>
              <w:jc w:val="center"/>
              <w:rPr>
                <w:rFonts w:ascii="Century Gothic" w:hAnsi="Century Gothic" w:cs="Arial"/>
                <w:color w:val="000000"/>
                <w:sz w:val="22"/>
                <w:szCs w:val="22"/>
                <w:lang w:val="es-MX"/>
              </w:rPr>
            </w:pPr>
            <w:r w:rsidRPr="003A55A1">
              <w:rPr>
                <w:rFonts w:ascii="Century Gothic" w:hAnsi="Century Gothic" w:cs="Arial"/>
                <w:color w:val="000000"/>
                <w:sz w:val="22"/>
                <w:szCs w:val="22"/>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810DC8" w:rsidRPr="003A55A1" w:rsidRDefault="00810DC8" w:rsidP="00497CED">
            <w:pPr>
              <w:pStyle w:val="Texto"/>
              <w:spacing w:line="240" w:lineRule="exact"/>
              <w:ind w:firstLine="0"/>
              <w:jc w:val="center"/>
              <w:rPr>
                <w:rFonts w:ascii="Century Gothic" w:hAnsi="Century Gothic" w:cs="Arial"/>
                <w:color w:val="000000"/>
                <w:sz w:val="22"/>
                <w:szCs w:val="22"/>
                <w:lang w:val="es-MX"/>
              </w:rPr>
            </w:pPr>
            <w:r w:rsidRPr="003A55A1">
              <w:rPr>
                <w:rFonts w:ascii="Century Gothic" w:hAnsi="Century Gothic" w:cs="Arial"/>
                <w:color w:val="000000"/>
                <w:sz w:val="22"/>
                <w:szCs w:val="22"/>
                <w:lang w:val="es-MX"/>
              </w:rPr>
              <w:t>10</w:t>
            </w:r>
          </w:p>
        </w:tc>
      </w:tr>
      <w:tr w:rsidR="00810DC8" w:rsidRPr="003A55A1" w:rsidTr="00497CED">
        <w:trPr>
          <w:trHeight w:val="20"/>
          <w:jc w:val="center"/>
        </w:trPr>
        <w:tc>
          <w:tcPr>
            <w:tcW w:w="5565" w:type="dxa"/>
            <w:tcBorders>
              <w:top w:val="single" w:sz="6" w:space="0" w:color="auto"/>
              <w:left w:val="single" w:sz="6" w:space="0" w:color="auto"/>
              <w:bottom w:val="single" w:sz="6" w:space="0" w:color="auto"/>
              <w:right w:val="single" w:sz="6" w:space="0" w:color="auto"/>
            </w:tcBorders>
            <w:vAlign w:val="center"/>
          </w:tcPr>
          <w:p w:rsidR="00810DC8" w:rsidRPr="003A55A1" w:rsidRDefault="00810DC8" w:rsidP="00497CED">
            <w:pPr>
              <w:pStyle w:val="Texto"/>
              <w:spacing w:line="240" w:lineRule="exact"/>
              <w:ind w:firstLine="0"/>
              <w:rPr>
                <w:rFonts w:ascii="Century Gothic" w:hAnsi="Century Gothic" w:cs="Arial"/>
                <w:color w:val="000000"/>
                <w:sz w:val="22"/>
                <w:szCs w:val="22"/>
                <w:lang w:val="es-MX"/>
              </w:rPr>
            </w:pPr>
            <w:r w:rsidRPr="003A55A1">
              <w:rPr>
                <w:rFonts w:ascii="Century Gothic" w:hAnsi="Century Gothic" w:cs="Arial"/>
                <w:color w:val="000000"/>
                <w:sz w:val="22"/>
                <w:szCs w:val="22"/>
                <w:lang w:val="es-MX"/>
              </w:rPr>
              <w:t>Equipo de Cómputo y de Tecnologías de la Información</w:t>
            </w:r>
          </w:p>
        </w:tc>
        <w:tc>
          <w:tcPr>
            <w:tcW w:w="820" w:type="dxa"/>
            <w:tcBorders>
              <w:top w:val="single" w:sz="6" w:space="0" w:color="auto"/>
              <w:left w:val="single" w:sz="6" w:space="0" w:color="auto"/>
              <w:bottom w:val="single" w:sz="6" w:space="0" w:color="auto"/>
              <w:right w:val="single" w:sz="6" w:space="0" w:color="auto"/>
            </w:tcBorders>
            <w:vAlign w:val="center"/>
          </w:tcPr>
          <w:p w:rsidR="00810DC8" w:rsidRPr="003A55A1" w:rsidRDefault="00810DC8" w:rsidP="00497CED">
            <w:pPr>
              <w:pStyle w:val="Texto"/>
              <w:spacing w:line="240" w:lineRule="exact"/>
              <w:ind w:firstLine="0"/>
              <w:jc w:val="center"/>
              <w:rPr>
                <w:rFonts w:ascii="Century Gothic" w:hAnsi="Century Gothic" w:cs="Arial"/>
                <w:color w:val="000000"/>
                <w:sz w:val="22"/>
                <w:szCs w:val="22"/>
                <w:lang w:val="es-MX"/>
              </w:rPr>
            </w:pPr>
            <w:r w:rsidRPr="003A55A1">
              <w:rPr>
                <w:rFonts w:ascii="Century Gothic" w:hAnsi="Century Gothic" w:cs="Arial"/>
                <w:color w:val="000000"/>
                <w:sz w:val="22"/>
                <w:szCs w:val="22"/>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rsidR="00810DC8" w:rsidRPr="003A55A1" w:rsidRDefault="00810DC8" w:rsidP="00497CED">
            <w:pPr>
              <w:pStyle w:val="Texto"/>
              <w:spacing w:line="240" w:lineRule="exact"/>
              <w:ind w:firstLine="0"/>
              <w:jc w:val="center"/>
              <w:rPr>
                <w:rFonts w:ascii="Century Gothic" w:hAnsi="Century Gothic" w:cs="Arial"/>
                <w:color w:val="000000"/>
                <w:sz w:val="22"/>
                <w:szCs w:val="22"/>
                <w:lang w:val="es-MX"/>
              </w:rPr>
            </w:pPr>
            <w:r w:rsidRPr="003A55A1">
              <w:rPr>
                <w:rFonts w:ascii="Century Gothic" w:hAnsi="Century Gothic" w:cs="Arial"/>
                <w:color w:val="000000"/>
                <w:sz w:val="22"/>
                <w:szCs w:val="22"/>
                <w:lang w:val="es-MX"/>
              </w:rPr>
              <w:t>33.3</w:t>
            </w:r>
          </w:p>
        </w:tc>
      </w:tr>
      <w:tr w:rsidR="00810DC8" w:rsidRPr="003A55A1" w:rsidTr="00497CED">
        <w:trPr>
          <w:trHeight w:val="20"/>
          <w:jc w:val="center"/>
        </w:trPr>
        <w:tc>
          <w:tcPr>
            <w:tcW w:w="5565" w:type="dxa"/>
            <w:tcBorders>
              <w:top w:val="single" w:sz="6" w:space="0" w:color="auto"/>
              <w:left w:val="single" w:sz="6" w:space="0" w:color="auto"/>
              <w:bottom w:val="single" w:sz="6" w:space="0" w:color="auto"/>
              <w:right w:val="single" w:sz="6" w:space="0" w:color="auto"/>
            </w:tcBorders>
            <w:vAlign w:val="center"/>
          </w:tcPr>
          <w:p w:rsidR="00810DC8" w:rsidRPr="003A55A1" w:rsidRDefault="00810DC8" w:rsidP="00497CED">
            <w:pPr>
              <w:pStyle w:val="Texto"/>
              <w:spacing w:line="240" w:lineRule="exact"/>
              <w:ind w:firstLine="0"/>
              <w:rPr>
                <w:rFonts w:ascii="Century Gothic" w:hAnsi="Century Gothic" w:cs="Arial"/>
                <w:color w:val="000000"/>
                <w:sz w:val="22"/>
                <w:szCs w:val="22"/>
                <w:lang w:val="es-MX"/>
              </w:rPr>
            </w:pPr>
            <w:r w:rsidRPr="003A55A1">
              <w:rPr>
                <w:rFonts w:ascii="Century Gothic" w:hAnsi="Century Gothic" w:cs="Arial"/>
                <w:color w:val="000000"/>
                <w:sz w:val="22"/>
                <w:szCs w:val="22"/>
                <w:lang w:val="es-MX"/>
              </w:rPr>
              <w:t>Otros Mobiliarios y Equipos de Administración</w:t>
            </w:r>
          </w:p>
        </w:tc>
        <w:tc>
          <w:tcPr>
            <w:tcW w:w="820" w:type="dxa"/>
            <w:tcBorders>
              <w:top w:val="single" w:sz="6" w:space="0" w:color="auto"/>
              <w:left w:val="single" w:sz="6" w:space="0" w:color="auto"/>
              <w:bottom w:val="single" w:sz="6" w:space="0" w:color="auto"/>
              <w:right w:val="single" w:sz="6" w:space="0" w:color="auto"/>
            </w:tcBorders>
            <w:vAlign w:val="center"/>
          </w:tcPr>
          <w:p w:rsidR="00810DC8" w:rsidRPr="003A55A1" w:rsidRDefault="00810DC8" w:rsidP="00497CED">
            <w:pPr>
              <w:pStyle w:val="Texto"/>
              <w:spacing w:line="240" w:lineRule="exact"/>
              <w:ind w:firstLine="0"/>
              <w:jc w:val="center"/>
              <w:rPr>
                <w:rFonts w:ascii="Century Gothic" w:hAnsi="Century Gothic" w:cs="Arial"/>
                <w:color w:val="000000"/>
                <w:sz w:val="22"/>
                <w:szCs w:val="22"/>
                <w:lang w:val="es-MX"/>
              </w:rPr>
            </w:pPr>
            <w:r w:rsidRPr="003A55A1">
              <w:rPr>
                <w:rFonts w:ascii="Century Gothic" w:hAnsi="Century Gothic" w:cs="Arial"/>
                <w:color w:val="000000"/>
                <w:sz w:val="22"/>
                <w:szCs w:val="22"/>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810DC8" w:rsidRPr="003A55A1" w:rsidRDefault="00810DC8" w:rsidP="00497CED">
            <w:pPr>
              <w:pStyle w:val="Texto"/>
              <w:spacing w:line="240" w:lineRule="exact"/>
              <w:ind w:firstLine="0"/>
              <w:jc w:val="center"/>
              <w:rPr>
                <w:rFonts w:ascii="Century Gothic" w:hAnsi="Century Gothic" w:cs="Arial"/>
                <w:color w:val="000000"/>
                <w:sz w:val="22"/>
                <w:szCs w:val="22"/>
                <w:lang w:val="es-MX"/>
              </w:rPr>
            </w:pPr>
            <w:r w:rsidRPr="003A55A1">
              <w:rPr>
                <w:rFonts w:ascii="Century Gothic" w:hAnsi="Century Gothic" w:cs="Arial"/>
                <w:color w:val="000000"/>
                <w:sz w:val="22"/>
                <w:szCs w:val="22"/>
                <w:lang w:val="es-MX"/>
              </w:rPr>
              <w:t>10</w:t>
            </w:r>
          </w:p>
        </w:tc>
      </w:tr>
      <w:tr w:rsidR="00810DC8" w:rsidRPr="003A55A1" w:rsidTr="00497CED">
        <w:trPr>
          <w:trHeight w:val="20"/>
          <w:jc w:val="center"/>
        </w:trPr>
        <w:tc>
          <w:tcPr>
            <w:tcW w:w="7730" w:type="dxa"/>
            <w:gridSpan w:val="3"/>
            <w:tcBorders>
              <w:top w:val="single" w:sz="6" w:space="0" w:color="auto"/>
              <w:left w:val="single" w:sz="6" w:space="0" w:color="auto"/>
              <w:bottom w:val="single" w:sz="6" w:space="0" w:color="auto"/>
              <w:right w:val="single" w:sz="6" w:space="0" w:color="auto"/>
            </w:tcBorders>
            <w:vAlign w:val="center"/>
          </w:tcPr>
          <w:p w:rsidR="00810DC8" w:rsidRPr="003A55A1" w:rsidRDefault="00810DC8" w:rsidP="00497CED">
            <w:pPr>
              <w:pStyle w:val="Texto"/>
              <w:spacing w:line="240" w:lineRule="exact"/>
              <w:ind w:firstLine="0"/>
              <w:rPr>
                <w:rFonts w:ascii="Century Gothic" w:hAnsi="Century Gothic" w:cs="Arial"/>
                <w:color w:val="000000"/>
                <w:sz w:val="22"/>
                <w:szCs w:val="22"/>
                <w:lang w:val="es-MX"/>
              </w:rPr>
            </w:pPr>
            <w:r w:rsidRPr="003A55A1">
              <w:rPr>
                <w:rFonts w:ascii="Century Gothic" w:hAnsi="Century Gothic" w:cs="Arial"/>
                <w:b/>
                <w:color w:val="000000"/>
                <w:sz w:val="22"/>
                <w:szCs w:val="22"/>
                <w:lang w:val="es-MX"/>
              </w:rPr>
              <w:t>Mobiliario y Equipo Educacional y Recreativo</w:t>
            </w:r>
          </w:p>
        </w:tc>
      </w:tr>
      <w:tr w:rsidR="00810DC8" w:rsidRPr="003A55A1" w:rsidTr="00497CED">
        <w:trPr>
          <w:trHeight w:val="20"/>
          <w:jc w:val="center"/>
        </w:trPr>
        <w:tc>
          <w:tcPr>
            <w:tcW w:w="5565" w:type="dxa"/>
            <w:tcBorders>
              <w:top w:val="single" w:sz="6" w:space="0" w:color="auto"/>
              <w:left w:val="single" w:sz="6" w:space="0" w:color="auto"/>
              <w:bottom w:val="single" w:sz="6" w:space="0" w:color="auto"/>
              <w:right w:val="single" w:sz="6" w:space="0" w:color="auto"/>
            </w:tcBorders>
            <w:vAlign w:val="center"/>
          </w:tcPr>
          <w:p w:rsidR="00810DC8" w:rsidRPr="003A55A1" w:rsidRDefault="00810DC8" w:rsidP="00497CED">
            <w:pPr>
              <w:pStyle w:val="Texto"/>
              <w:spacing w:line="240" w:lineRule="exact"/>
              <w:ind w:firstLine="0"/>
              <w:rPr>
                <w:rFonts w:ascii="Century Gothic" w:hAnsi="Century Gothic" w:cs="Arial"/>
                <w:color w:val="000000"/>
                <w:sz w:val="22"/>
                <w:szCs w:val="22"/>
                <w:lang w:val="es-MX"/>
              </w:rPr>
            </w:pPr>
            <w:r w:rsidRPr="003A55A1">
              <w:rPr>
                <w:rFonts w:ascii="Century Gothic" w:hAnsi="Century Gothic" w:cs="Arial"/>
                <w:color w:val="000000"/>
                <w:sz w:val="22"/>
                <w:szCs w:val="22"/>
                <w:lang w:val="es-MX"/>
              </w:rPr>
              <w:t>Equipos y Aparatos Audiovisuales</w:t>
            </w:r>
          </w:p>
        </w:tc>
        <w:tc>
          <w:tcPr>
            <w:tcW w:w="820" w:type="dxa"/>
            <w:tcBorders>
              <w:top w:val="single" w:sz="6" w:space="0" w:color="auto"/>
              <w:left w:val="single" w:sz="6" w:space="0" w:color="auto"/>
              <w:bottom w:val="single" w:sz="6" w:space="0" w:color="auto"/>
              <w:right w:val="single" w:sz="6" w:space="0" w:color="auto"/>
            </w:tcBorders>
            <w:vAlign w:val="center"/>
          </w:tcPr>
          <w:p w:rsidR="00810DC8" w:rsidRPr="003A55A1" w:rsidRDefault="00810DC8" w:rsidP="00497CED">
            <w:pPr>
              <w:pStyle w:val="Texto"/>
              <w:spacing w:line="240" w:lineRule="exact"/>
              <w:ind w:firstLine="0"/>
              <w:jc w:val="center"/>
              <w:rPr>
                <w:rFonts w:ascii="Century Gothic" w:hAnsi="Century Gothic" w:cs="Arial"/>
                <w:color w:val="000000"/>
                <w:sz w:val="22"/>
                <w:szCs w:val="22"/>
                <w:lang w:val="es-MX"/>
              </w:rPr>
            </w:pPr>
            <w:r w:rsidRPr="003A55A1">
              <w:rPr>
                <w:rFonts w:ascii="Century Gothic" w:hAnsi="Century Gothic" w:cs="Arial"/>
                <w:color w:val="000000"/>
                <w:sz w:val="22"/>
                <w:szCs w:val="22"/>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rsidR="00810DC8" w:rsidRPr="003A55A1" w:rsidRDefault="00810DC8" w:rsidP="00497CED">
            <w:pPr>
              <w:pStyle w:val="Texto"/>
              <w:spacing w:line="240" w:lineRule="exact"/>
              <w:ind w:firstLine="0"/>
              <w:jc w:val="center"/>
              <w:rPr>
                <w:rFonts w:ascii="Century Gothic" w:hAnsi="Century Gothic" w:cs="Arial"/>
                <w:color w:val="000000"/>
                <w:sz w:val="22"/>
                <w:szCs w:val="22"/>
                <w:lang w:val="es-MX"/>
              </w:rPr>
            </w:pPr>
            <w:r w:rsidRPr="003A55A1">
              <w:rPr>
                <w:rFonts w:ascii="Century Gothic" w:hAnsi="Century Gothic" w:cs="Arial"/>
                <w:color w:val="000000"/>
                <w:sz w:val="22"/>
                <w:szCs w:val="22"/>
                <w:lang w:val="es-MX"/>
              </w:rPr>
              <w:t>33.3</w:t>
            </w:r>
          </w:p>
        </w:tc>
      </w:tr>
      <w:tr w:rsidR="00810DC8" w:rsidRPr="003A55A1" w:rsidTr="00497CED">
        <w:trPr>
          <w:trHeight w:val="20"/>
          <w:jc w:val="center"/>
        </w:trPr>
        <w:tc>
          <w:tcPr>
            <w:tcW w:w="5565" w:type="dxa"/>
            <w:tcBorders>
              <w:top w:val="single" w:sz="6" w:space="0" w:color="auto"/>
              <w:left w:val="single" w:sz="6" w:space="0" w:color="auto"/>
              <w:bottom w:val="single" w:sz="6" w:space="0" w:color="auto"/>
              <w:right w:val="single" w:sz="6" w:space="0" w:color="auto"/>
            </w:tcBorders>
            <w:vAlign w:val="center"/>
          </w:tcPr>
          <w:p w:rsidR="00810DC8" w:rsidRPr="003A55A1" w:rsidRDefault="00810DC8" w:rsidP="00497CED">
            <w:pPr>
              <w:pStyle w:val="Texto"/>
              <w:spacing w:line="240" w:lineRule="exact"/>
              <w:ind w:firstLine="0"/>
              <w:rPr>
                <w:rFonts w:ascii="Century Gothic" w:hAnsi="Century Gothic" w:cs="Arial"/>
                <w:color w:val="000000"/>
                <w:sz w:val="22"/>
                <w:szCs w:val="22"/>
                <w:lang w:val="es-MX"/>
              </w:rPr>
            </w:pPr>
            <w:r w:rsidRPr="003A55A1">
              <w:rPr>
                <w:rFonts w:ascii="Century Gothic" w:hAnsi="Century Gothic" w:cs="Arial"/>
                <w:color w:val="000000"/>
                <w:sz w:val="22"/>
                <w:szCs w:val="22"/>
                <w:lang w:val="es-MX"/>
              </w:rPr>
              <w:t>Aparatos Deportivos</w:t>
            </w:r>
          </w:p>
        </w:tc>
        <w:tc>
          <w:tcPr>
            <w:tcW w:w="820" w:type="dxa"/>
            <w:tcBorders>
              <w:top w:val="single" w:sz="6" w:space="0" w:color="auto"/>
              <w:left w:val="single" w:sz="6" w:space="0" w:color="auto"/>
              <w:bottom w:val="single" w:sz="6" w:space="0" w:color="auto"/>
              <w:right w:val="single" w:sz="6" w:space="0" w:color="auto"/>
            </w:tcBorders>
            <w:vAlign w:val="center"/>
          </w:tcPr>
          <w:p w:rsidR="00810DC8" w:rsidRPr="003A55A1" w:rsidRDefault="00810DC8" w:rsidP="00497CED">
            <w:pPr>
              <w:pStyle w:val="Texto"/>
              <w:spacing w:line="240" w:lineRule="exact"/>
              <w:ind w:firstLine="0"/>
              <w:jc w:val="center"/>
              <w:rPr>
                <w:rFonts w:ascii="Century Gothic" w:hAnsi="Century Gothic" w:cs="Arial"/>
                <w:color w:val="000000"/>
                <w:sz w:val="22"/>
                <w:szCs w:val="22"/>
                <w:lang w:val="es-MX"/>
              </w:rPr>
            </w:pPr>
            <w:r w:rsidRPr="003A55A1">
              <w:rPr>
                <w:rFonts w:ascii="Century Gothic" w:hAnsi="Century Gothic" w:cs="Arial"/>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810DC8" w:rsidRPr="003A55A1" w:rsidRDefault="00810DC8" w:rsidP="00497CED">
            <w:pPr>
              <w:pStyle w:val="Texto"/>
              <w:spacing w:line="240" w:lineRule="exact"/>
              <w:ind w:firstLine="0"/>
              <w:jc w:val="center"/>
              <w:rPr>
                <w:rFonts w:ascii="Century Gothic" w:hAnsi="Century Gothic" w:cs="Arial"/>
                <w:color w:val="000000"/>
                <w:sz w:val="22"/>
                <w:szCs w:val="22"/>
                <w:lang w:val="es-MX"/>
              </w:rPr>
            </w:pPr>
            <w:r w:rsidRPr="003A55A1">
              <w:rPr>
                <w:rFonts w:ascii="Century Gothic" w:hAnsi="Century Gothic" w:cs="Arial"/>
                <w:color w:val="000000"/>
                <w:sz w:val="22"/>
                <w:szCs w:val="22"/>
                <w:lang w:val="es-MX"/>
              </w:rPr>
              <w:t>20</w:t>
            </w:r>
          </w:p>
        </w:tc>
      </w:tr>
      <w:tr w:rsidR="00810DC8" w:rsidRPr="003A55A1" w:rsidTr="00497CED">
        <w:trPr>
          <w:trHeight w:val="20"/>
          <w:jc w:val="center"/>
        </w:trPr>
        <w:tc>
          <w:tcPr>
            <w:tcW w:w="5565" w:type="dxa"/>
            <w:tcBorders>
              <w:top w:val="single" w:sz="6" w:space="0" w:color="auto"/>
              <w:left w:val="single" w:sz="6" w:space="0" w:color="auto"/>
              <w:bottom w:val="single" w:sz="6" w:space="0" w:color="auto"/>
              <w:right w:val="single" w:sz="6" w:space="0" w:color="auto"/>
            </w:tcBorders>
            <w:vAlign w:val="center"/>
          </w:tcPr>
          <w:p w:rsidR="00810DC8" w:rsidRPr="003A55A1" w:rsidRDefault="00810DC8" w:rsidP="00497CED">
            <w:pPr>
              <w:pStyle w:val="Texto"/>
              <w:spacing w:line="240" w:lineRule="exact"/>
              <w:ind w:firstLine="0"/>
              <w:rPr>
                <w:rFonts w:ascii="Century Gothic" w:hAnsi="Century Gothic" w:cs="Arial"/>
                <w:color w:val="000000"/>
                <w:sz w:val="22"/>
                <w:szCs w:val="22"/>
                <w:lang w:val="es-MX"/>
              </w:rPr>
            </w:pPr>
            <w:r w:rsidRPr="003A55A1">
              <w:rPr>
                <w:rFonts w:ascii="Century Gothic" w:hAnsi="Century Gothic" w:cs="Arial"/>
                <w:color w:val="000000"/>
                <w:sz w:val="22"/>
                <w:szCs w:val="22"/>
                <w:lang w:val="es-MX"/>
              </w:rPr>
              <w:lastRenderedPageBreak/>
              <w:t>Cámaras Fotográficas y de Video</w:t>
            </w:r>
          </w:p>
        </w:tc>
        <w:tc>
          <w:tcPr>
            <w:tcW w:w="820" w:type="dxa"/>
            <w:tcBorders>
              <w:top w:val="single" w:sz="6" w:space="0" w:color="auto"/>
              <w:left w:val="single" w:sz="6" w:space="0" w:color="auto"/>
              <w:bottom w:val="single" w:sz="6" w:space="0" w:color="auto"/>
              <w:right w:val="single" w:sz="6" w:space="0" w:color="auto"/>
            </w:tcBorders>
            <w:vAlign w:val="center"/>
          </w:tcPr>
          <w:p w:rsidR="00810DC8" w:rsidRPr="003A55A1" w:rsidRDefault="00810DC8" w:rsidP="00497CED">
            <w:pPr>
              <w:pStyle w:val="Texto"/>
              <w:spacing w:line="240" w:lineRule="exact"/>
              <w:ind w:firstLine="0"/>
              <w:jc w:val="center"/>
              <w:rPr>
                <w:rFonts w:ascii="Century Gothic" w:hAnsi="Century Gothic" w:cs="Arial"/>
                <w:color w:val="000000"/>
                <w:sz w:val="22"/>
                <w:szCs w:val="22"/>
                <w:lang w:val="es-MX"/>
              </w:rPr>
            </w:pPr>
            <w:r w:rsidRPr="003A55A1">
              <w:rPr>
                <w:rFonts w:ascii="Century Gothic" w:hAnsi="Century Gothic" w:cs="Arial"/>
                <w:color w:val="000000"/>
                <w:sz w:val="22"/>
                <w:szCs w:val="22"/>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rsidR="00810DC8" w:rsidRPr="003A55A1" w:rsidRDefault="00810DC8" w:rsidP="00497CED">
            <w:pPr>
              <w:pStyle w:val="Texto"/>
              <w:spacing w:line="240" w:lineRule="exact"/>
              <w:ind w:firstLine="0"/>
              <w:jc w:val="center"/>
              <w:rPr>
                <w:rFonts w:ascii="Century Gothic" w:hAnsi="Century Gothic" w:cs="Arial"/>
                <w:color w:val="000000"/>
                <w:sz w:val="22"/>
                <w:szCs w:val="22"/>
                <w:lang w:val="es-MX"/>
              </w:rPr>
            </w:pPr>
            <w:r w:rsidRPr="003A55A1">
              <w:rPr>
                <w:rFonts w:ascii="Century Gothic" w:hAnsi="Century Gothic" w:cs="Arial"/>
                <w:color w:val="000000"/>
                <w:sz w:val="22"/>
                <w:szCs w:val="22"/>
                <w:lang w:val="es-MX"/>
              </w:rPr>
              <w:t>33.3</w:t>
            </w:r>
          </w:p>
        </w:tc>
      </w:tr>
      <w:tr w:rsidR="00810DC8" w:rsidRPr="003A55A1" w:rsidTr="00497CED">
        <w:trPr>
          <w:trHeight w:val="20"/>
          <w:jc w:val="center"/>
        </w:trPr>
        <w:tc>
          <w:tcPr>
            <w:tcW w:w="5565" w:type="dxa"/>
            <w:tcBorders>
              <w:top w:val="single" w:sz="6" w:space="0" w:color="auto"/>
              <w:left w:val="single" w:sz="6" w:space="0" w:color="auto"/>
              <w:bottom w:val="single" w:sz="6" w:space="0" w:color="auto"/>
              <w:right w:val="single" w:sz="6" w:space="0" w:color="auto"/>
            </w:tcBorders>
            <w:vAlign w:val="center"/>
          </w:tcPr>
          <w:p w:rsidR="00810DC8" w:rsidRPr="003A55A1" w:rsidRDefault="00810DC8" w:rsidP="00497CED">
            <w:pPr>
              <w:pStyle w:val="Texto"/>
              <w:spacing w:line="240" w:lineRule="exact"/>
              <w:ind w:firstLine="0"/>
              <w:rPr>
                <w:rFonts w:ascii="Century Gothic" w:hAnsi="Century Gothic" w:cs="Arial"/>
                <w:color w:val="000000"/>
                <w:sz w:val="22"/>
                <w:szCs w:val="22"/>
                <w:lang w:val="es-MX"/>
              </w:rPr>
            </w:pPr>
            <w:r w:rsidRPr="003A55A1">
              <w:rPr>
                <w:rFonts w:ascii="Century Gothic" w:hAnsi="Century Gothic" w:cs="Arial"/>
                <w:color w:val="000000"/>
                <w:sz w:val="22"/>
                <w:szCs w:val="22"/>
                <w:lang w:val="es-MX"/>
              </w:rPr>
              <w:t>Otro Mobiliario y Equipo Educacional y Recreativo</w:t>
            </w:r>
          </w:p>
        </w:tc>
        <w:tc>
          <w:tcPr>
            <w:tcW w:w="820" w:type="dxa"/>
            <w:tcBorders>
              <w:top w:val="single" w:sz="6" w:space="0" w:color="auto"/>
              <w:left w:val="single" w:sz="6" w:space="0" w:color="auto"/>
              <w:bottom w:val="single" w:sz="6" w:space="0" w:color="auto"/>
              <w:right w:val="single" w:sz="6" w:space="0" w:color="auto"/>
            </w:tcBorders>
            <w:vAlign w:val="center"/>
          </w:tcPr>
          <w:p w:rsidR="00810DC8" w:rsidRPr="003A55A1" w:rsidRDefault="00810DC8" w:rsidP="00497CED">
            <w:pPr>
              <w:pStyle w:val="Texto"/>
              <w:spacing w:line="240" w:lineRule="exact"/>
              <w:ind w:firstLine="0"/>
              <w:jc w:val="center"/>
              <w:rPr>
                <w:rFonts w:ascii="Century Gothic" w:hAnsi="Century Gothic" w:cs="Arial"/>
                <w:color w:val="000000"/>
                <w:sz w:val="22"/>
                <w:szCs w:val="22"/>
                <w:lang w:val="es-MX"/>
              </w:rPr>
            </w:pPr>
            <w:r w:rsidRPr="003A55A1">
              <w:rPr>
                <w:rFonts w:ascii="Century Gothic" w:hAnsi="Century Gothic" w:cs="Arial"/>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810DC8" w:rsidRPr="003A55A1" w:rsidRDefault="00810DC8" w:rsidP="00497CED">
            <w:pPr>
              <w:pStyle w:val="Texto"/>
              <w:spacing w:line="240" w:lineRule="exact"/>
              <w:ind w:firstLine="0"/>
              <w:jc w:val="center"/>
              <w:rPr>
                <w:rFonts w:ascii="Century Gothic" w:hAnsi="Century Gothic" w:cs="Arial"/>
                <w:color w:val="000000"/>
                <w:sz w:val="22"/>
                <w:szCs w:val="22"/>
                <w:lang w:val="es-MX"/>
              </w:rPr>
            </w:pPr>
            <w:r w:rsidRPr="003A55A1">
              <w:rPr>
                <w:rFonts w:ascii="Century Gothic" w:hAnsi="Century Gothic" w:cs="Arial"/>
                <w:color w:val="000000"/>
                <w:sz w:val="22"/>
                <w:szCs w:val="22"/>
                <w:lang w:val="es-MX"/>
              </w:rPr>
              <w:t>20</w:t>
            </w:r>
          </w:p>
        </w:tc>
      </w:tr>
      <w:tr w:rsidR="00810DC8" w:rsidRPr="003A55A1" w:rsidTr="00497CED">
        <w:trPr>
          <w:trHeight w:val="20"/>
          <w:jc w:val="center"/>
        </w:trPr>
        <w:tc>
          <w:tcPr>
            <w:tcW w:w="7730" w:type="dxa"/>
            <w:gridSpan w:val="3"/>
            <w:tcBorders>
              <w:top w:val="single" w:sz="6" w:space="0" w:color="auto"/>
              <w:left w:val="single" w:sz="6" w:space="0" w:color="auto"/>
              <w:bottom w:val="single" w:sz="6" w:space="0" w:color="auto"/>
              <w:right w:val="single" w:sz="6" w:space="0" w:color="auto"/>
            </w:tcBorders>
            <w:vAlign w:val="center"/>
          </w:tcPr>
          <w:p w:rsidR="00810DC8" w:rsidRPr="003A55A1" w:rsidRDefault="00810DC8" w:rsidP="00497CED">
            <w:pPr>
              <w:pStyle w:val="Texto"/>
              <w:spacing w:line="240" w:lineRule="exact"/>
              <w:ind w:firstLine="0"/>
              <w:rPr>
                <w:rFonts w:ascii="Century Gothic" w:hAnsi="Century Gothic" w:cs="Arial"/>
                <w:color w:val="000000"/>
                <w:sz w:val="22"/>
                <w:szCs w:val="22"/>
                <w:lang w:val="es-MX"/>
              </w:rPr>
            </w:pPr>
            <w:r w:rsidRPr="003A55A1">
              <w:rPr>
                <w:rFonts w:ascii="Century Gothic" w:hAnsi="Century Gothic" w:cs="Arial"/>
                <w:b/>
                <w:color w:val="000000"/>
                <w:sz w:val="22"/>
                <w:szCs w:val="22"/>
                <w:lang w:val="es-MX"/>
              </w:rPr>
              <w:t>Equipo de Transporte</w:t>
            </w:r>
          </w:p>
        </w:tc>
      </w:tr>
      <w:tr w:rsidR="00810DC8" w:rsidRPr="003A55A1" w:rsidTr="00497CED">
        <w:trPr>
          <w:trHeight w:val="20"/>
          <w:jc w:val="center"/>
        </w:trPr>
        <w:tc>
          <w:tcPr>
            <w:tcW w:w="5565" w:type="dxa"/>
            <w:tcBorders>
              <w:top w:val="single" w:sz="6" w:space="0" w:color="auto"/>
              <w:left w:val="single" w:sz="6" w:space="0" w:color="auto"/>
              <w:bottom w:val="single" w:sz="6" w:space="0" w:color="auto"/>
              <w:right w:val="single" w:sz="6" w:space="0" w:color="auto"/>
            </w:tcBorders>
            <w:vAlign w:val="center"/>
          </w:tcPr>
          <w:p w:rsidR="00810DC8" w:rsidRPr="003A55A1" w:rsidRDefault="00810DC8" w:rsidP="00497CED">
            <w:pPr>
              <w:pStyle w:val="Texto"/>
              <w:spacing w:line="240" w:lineRule="exact"/>
              <w:ind w:firstLine="0"/>
              <w:rPr>
                <w:rFonts w:ascii="Century Gothic" w:hAnsi="Century Gothic" w:cs="Arial"/>
                <w:color w:val="000000"/>
                <w:sz w:val="22"/>
                <w:szCs w:val="22"/>
                <w:lang w:val="es-MX"/>
              </w:rPr>
            </w:pPr>
            <w:r w:rsidRPr="003A55A1">
              <w:rPr>
                <w:rFonts w:ascii="Century Gothic" w:hAnsi="Century Gothic" w:cs="Arial"/>
                <w:color w:val="000000"/>
                <w:sz w:val="22"/>
                <w:szCs w:val="22"/>
                <w:lang w:val="es-MX"/>
              </w:rPr>
              <w:t>Automóviles y Equipo Terrestre</w:t>
            </w:r>
          </w:p>
        </w:tc>
        <w:tc>
          <w:tcPr>
            <w:tcW w:w="820" w:type="dxa"/>
            <w:tcBorders>
              <w:top w:val="single" w:sz="6" w:space="0" w:color="auto"/>
              <w:left w:val="single" w:sz="6" w:space="0" w:color="auto"/>
              <w:bottom w:val="single" w:sz="6" w:space="0" w:color="auto"/>
              <w:right w:val="single" w:sz="6" w:space="0" w:color="auto"/>
            </w:tcBorders>
            <w:vAlign w:val="center"/>
          </w:tcPr>
          <w:p w:rsidR="00810DC8" w:rsidRPr="003A55A1" w:rsidRDefault="00810DC8" w:rsidP="00497CED">
            <w:pPr>
              <w:pStyle w:val="Texto"/>
              <w:spacing w:line="240" w:lineRule="exact"/>
              <w:ind w:firstLine="0"/>
              <w:jc w:val="center"/>
              <w:rPr>
                <w:rFonts w:ascii="Century Gothic" w:hAnsi="Century Gothic" w:cs="Arial"/>
                <w:color w:val="000000"/>
                <w:sz w:val="22"/>
                <w:szCs w:val="22"/>
                <w:lang w:val="es-MX"/>
              </w:rPr>
            </w:pPr>
            <w:r w:rsidRPr="003A55A1">
              <w:rPr>
                <w:rFonts w:ascii="Century Gothic" w:hAnsi="Century Gothic" w:cs="Arial"/>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810DC8" w:rsidRPr="003A55A1" w:rsidRDefault="00810DC8" w:rsidP="00497CED">
            <w:pPr>
              <w:pStyle w:val="Texto"/>
              <w:spacing w:line="240" w:lineRule="exact"/>
              <w:ind w:firstLine="0"/>
              <w:jc w:val="center"/>
              <w:rPr>
                <w:rFonts w:ascii="Century Gothic" w:hAnsi="Century Gothic" w:cs="Arial"/>
                <w:color w:val="000000"/>
                <w:sz w:val="22"/>
                <w:szCs w:val="22"/>
                <w:lang w:val="es-MX"/>
              </w:rPr>
            </w:pPr>
            <w:r w:rsidRPr="003A55A1">
              <w:rPr>
                <w:rFonts w:ascii="Century Gothic" w:hAnsi="Century Gothic" w:cs="Arial"/>
                <w:color w:val="000000"/>
                <w:sz w:val="22"/>
                <w:szCs w:val="22"/>
                <w:lang w:val="es-MX"/>
              </w:rPr>
              <w:t>20</w:t>
            </w:r>
          </w:p>
        </w:tc>
      </w:tr>
      <w:tr w:rsidR="00810DC8" w:rsidRPr="003A55A1" w:rsidTr="00497CED">
        <w:trPr>
          <w:trHeight w:val="20"/>
          <w:jc w:val="center"/>
        </w:trPr>
        <w:tc>
          <w:tcPr>
            <w:tcW w:w="5565" w:type="dxa"/>
            <w:tcBorders>
              <w:top w:val="single" w:sz="6" w:space="0" w:color="auto"/>
              <w:left w:val="single" w:sz="6" w:space="0" w:color="auto"/>
              <w:bottom w:val="single" w:sz="6" w:space="0" w:color="auto"/>
              <w:right w:val="single" w:sz="6" w:space="0" w:color="auto"/>
            </w:tcBorders>
            <w:vAlign w:val="center"/>
          </w:tcPr>
          <w:p w:rsidR="00810DC8" w:rsidRPr="003A55A1" w:rsidRDefault="00810DC8" w:rsidP="00497CED">
            <w:pPr>
              <w:pStyle w:val="Texto"/>
              <w:spacing w:line="240" w:lineRule="exact"/>
              <w:ind w:firstLine="0"/>
              <w:rPr>
                <w:rFonts w:ascii="Century Gothic" w:hAnsi="Century Gothic" w:cs="Arial"/>
                <w:color w:val="000000"/>
                <w:sz w:val="22"/>
                <w:szCs w:val="22"/>
                <w:lang w:val="es-MX"/>
              </w:rPr>
            </w:pPr>
            <w:r w:rsidRPr="003A55A1">
              <w:rPr>
                <w:rFonts w:ascii="Century Gothic" w:hAnsi="Century Gothic" w:cs="Arial"/>
                <w:color w:val="000000"/>
                <w:sz w:val="22"/>
                <w:szCs w:val="22"/>
                <w:lang w:val="es-MX"/>
              </w:rPr>
              <w:t>Carrocerías y Remolques</w:t>
            </w:r>
          </w:p>
        </w:tc>
        <w:tc>
          <w:tcPr>
            <w:tcW w:w="820" w:type="dxa"/>
            <w:tcBorders>
              <w:top w:val="single" w:sz="6" w:space="0" w:color="auto"/>
              <w:left w:val="single" w:sz="6" w:space="0" w:color="auto"/>
              <w:bottom w:val="single" w:sz="6" w:space="0" w:color="auto"/>
              <w:right w:val="single" w:sz="6" w:space="0" w:color="auto"/>
            </w:tcBorders>
            <w:vAlign w:val="center"/>
          </w:tcPr>
          <w:p w:rsidR="00810DC8" w:rsidRPr="003A55A1" w:rsidRDefault="00810DC8" w:rsidP="00497CED">
            <w:pPr>
              <w:pStyle w:val="Texto"/>
              <w:spacing w:line="240" w:lineRule="exact"/>
              <w:ind w:firstLine="0"/>
              <w:jc w:val="center"/>
              <w:rPr>
                <w:rFonts w:ascii="Century Gothic" w:hAnsi="Century Gothic" w:cs="Arial"/>
                <w:color w:val="000000"/>
                <w:sz w:val="22"/>
                <w:szCs w:val="22"/>
                <w:lang w:val="es-MX"/>
              </w:rPr>
            </w:pPr>
            <w:r w:rsidRPr="003A55A1">
              <w:rPr>
                <w:rFonts w:ascii="Century Gothic" w:hAnsi="Century Gothic" w:cs="Arial"/>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810DC8" w:rsidRPr="003A55A1" w:rsidRDefault="00810DC8" w:rsidP="00497CED">
            <w:pPr>
              <w:pStyle w:val="Texto"/>
              <w:spacing w:line="240" w:lineRule="exact"/>
              <w:ind w:firstLine="0"/>
              <w:jc w:val="center"/>
              <w:rPr>
                <w:rFonts w:ascii="Century Gothic" w:hAnsi="Century Gothic" w:cs="Arial"/>
                <w:color w:val="000000"/>
                <w:sz w:val="22"/>
                <w:szCs w:val="22"/>
                <w:lang w:val="es-MX"/>
              </w:rPr>
            </w:pPr>
            <w:r w:rsidRPr="003A55A1">
              <w:rPr>
                <w:rFonts w:ascii="Century Gothic" w:hAnsi="Century Gothic" w:cs="Arial"/>
                <w:color w:val="000000"/>
                <w:sz w:val="22"/>
                <w:szCs w:val="22"/>
                <w:lang w:val="es-MX"/>
              </w:rPr>
              <w:t>20</w:t>
            </w:r>
          </w:p>
        </w:tc>
      </w:tr>
      <w:tr w:rsidR="00810DC8" w:rsidRPr="003A55A1" w:rsidTr="00497CED">
        <w:trPr>
          <w:trHeight w:val="20"/>
          <w:jc w:val="center"/>
        </w:trPr>
        <w:tc>
          <w:tcPr>
            <w:tcW w:w="7730" w:type="dxa"/>
            <w:gridSpan w:val="3"/>
            <w:tcBorders>
              <w:top w:val="single" w:sz="6" w:space="0" w:color="auto"/>
              <w:left w:val="single" w:sz="6" w:space="0" w:color="auto"/>
              <w:bottom w:val="single" w:sz="6" w:space="0" w:color="auto"/>
              <w:right w:val="single" w:sz="6" w:space="0" w:color="auto"/>
            </w:tcBorders>
            <w:vAlign w:val="center"/>
          </w:tcPr>
          <w:p w:rsidR="00810DC8" w:rsidRPr="003A55A1" w:rsidRDefault="00810DC8" w:rsidP="00497CED">
            <w:pPr>
              <w:pStyle w:val="Texto"/>
              <w:spacing w:line="226" w:lineRule="exact"/>
              <w:ind w:firstLine="0"/>
              <w:rPr>
                <w:rFonts w:ascii="Century Gothic" w:hAnsi="Century Gothic" w:cs="Arial"/>
                <w:color w:val="000000"/>
                <w:sz w:val="22"/>
                <w:szCs w:val="22"/>
                <w:lang w:val="es-MX"/>
              </w:rPr>
            </w:pPr>
            <w:r w:rsidRPr="003A55A1">
              <w:rPr>
                <w:rFonts w:ascii="Century Gothic" w:hAnsi="Century Gothic" w:cs="Arial"/>
                <w:b/>
                <w:color w:val="000000"/>
                <w:sz w:val="22"/>
                <w:szCs w:val="22"/>
                <w:lang w:val="es-MX"/>
              </w:rPr>
              <w:t>Maquinaria, Otros Equipos y Herramientas</w:t>
            </w:r>
          </w:p>
        </w:tc>
      </w:tr>
      <w:tr w:rsidR="00810DC8" w:rsidRPr="003A55A1" w:rsidTr="00497CED">
        <w:trPr>
          <w:trHeight w:val="20"/>
          <w:jc w:val="center"/>
        </w:trPr>
        <w:tc>
          <w:tcPr>
            <w:tcW w:w="5565" w:type="dxa"/>
            <w:tcBorders>
              <w:top w:val="single" w:sz="6" w:space="0" w:color="auto"/>
              <w:left w:val="single" w:sz="6" w:space="0" w:color="auto"/>
              <w:bottom w:val="single" w:sz="6" w:space="0" w:color="auto"/>
              <w:right w:val="single" w:sz="6" w:space="0" w:color="auto"/>
            </w:tcBorders>
            <w:vAlign w:val="center"/>
          </w:tcPr>
          <w:p w:rsidR="00810DC8" w:rsidRPr="003A55A1" w:rsidRDefault="00810DC8" w:rsidP="00497CED">
            <w:pPr>
              <w:pStyle w:val="Texto"/>
              <w:spacing w:line="226" w:lineRule="exact"/>
              <w:ind w:firstLine="0"/>
              <w:rPr>
                <w:rFonts w:ascii="Century Gothic" w:hAnsi="Century Gothic" w:cs="Arial"/>
                <w:color w:val="000000"/>
                <w:sz w:val="22"/>
                <w:szCs w:val="22"/>
                <w:lang w:val="es-MX"/>
              </w:rPr>
            </w:pPr>
            <w:r w:rsidRPr="003A55A1">
              <w:rPr>
                <w:rFonts w:ascii="Century Gothic" w:hAnsi="Century Gothic" w:cs="Arial"/>
                <w:color w:val="000000"/>
                <w:sz w:val="22"/>
                <w:szCs w:val="22"/>
                <w:lang w:val="es-MX"/>
              </w:rPr>
              <w:t>Otros Equipos</w:t>
            </w:r>
          </w:p>
        </w:tc>
        <w:tc>
          <w:tcPr>
            <w:tcW w:w="820" w:type="dxa"/>
            <w:tcBorders>
              <w:top w:val="single" w:sz="6" w:space="0" w:color="auto"/>
              <w:left w:val="single" w:sz="6" w:space="0" w:color="auto"/>
              <w:bottom w:val="single" w:sz="6" w:space="0" w:color="auto"/>
              <w:right w:val="single" w:sz="6" w:space="0" w:color="auto"/>
            </w:tcBorders>
            <w:vAlign w:val="center"/>
          </w:tcPr>
          <w:p w:rsidR="00810DC8" w:rsidRPr="003A55A1" w:rsidRDefault="00810DC8" w:rsidP="00497CED">
            <w:pPr>
              <w:pStyle w:val="Texto"/>
              <w:spacing w:line="226" w:lineRule="exact"/>
              <w:ind w:firstLine="0"/>
              <w:jc w:val="center"/>
              <w:rPr>
                <w:rFonts w:ascii="Century Gothic" w:hAnsi="Century Gothic" w:cs="Arial"/>
                <w:color w:val="000000"/>
                <w:sz w:val="22"/>
                <w:szCs w:val="22"/>
                <w:lang w:val="es-MX"/>
              </w:rPr>
            </w:pPr>
            <w:r w:rsidRPr="003A55A1">
              <w:rPr>
                <w:rFonts w:ascii="Century Gothic" w:hAnsi="Century Gothic" w:cs="Arial"/>
                <w:color w:val="000000"/>
                <w:sz w:val="22"/>
                <w:szCs w:val="22"/>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810DC8" w:rsidRPr="003A55A1" w:rsidRDefault="00810DC8" w:rsidP="00497CED">
            <w:pPr>
              <w:pStyle w:val="Texto"/>
              <w:spacing w:line="226" w:lineRule="exact"/>
              <w:ind w:firstLine="0"/>
              <w:jc w:val="center"/>
              <w:rPr>
                <w:rFonts w:ascii="Century Gothic" w:hAnsi="Century Gothic" w:cs="Arial"/>
                <w:color w:val="000000"/>
                <w:sz w:val="22"/>
                <w:szCs w:val="22"/>
                <w:lang w:val="es-MX"/>
              </w:rPr>
            </w:pPr>
            <w:r w:rsidRPr="003A55A1">
              <w:rPr>
                <w:rFonts w:ascii="Century Gothic" w:hAnsi="Century Gothic" w:cs="Arial"/>
                <w:color w:val="000000"/>
                <w:sz w:val="22"/>
                <w:szCs w:val="22"/>
                <w:lang w:val="es-MX"/>
              </w:rPr>
              <w:t>10</w:t>
            </w:r>
          </w:p>
        </w:tc>
      </w:tr>
    </w:tbl>
    <w:p w:rsidR="00810DC8" w:rsidRPr="003A55A1" w:rsidRDefault="00810DC8" w:rsidP="00810DC8">
      <w:pPr>
        <w:pStyle w:val="Sinespaciado"/>
        <w:jc w:val="both"/>
        <w:rPr>
          <w:rFonts w:ascii="Century Gothic" w:hAnsi="Century Gothic"/>
        </w:rPr>
      </w:pPr>
    </w:p>
    <w:p w:rsidR="00810DC8" w:rsidRPr="003A55A1" w:rsidRDefault="00810DC8" w:rsidP="00810DC8">
      <w:pPr>
        <w:pStyle w:val="Sinespaciado"/>
        <w:jc w:val="both"/>
        <w:rPr>
          <w:rFonts w:ascii="Century Gothic" w:hAnsi="Century Gothic"/>
        </w:rPr>
      </w:pPr>
    </w:p>
    <w:p w:rsidR="00810DC8" w:rsidRPr="003A55A1" w:rsidRDefault="00810DC8" w:rsidP="00810DC8">
      <w:pPr>
        <w:pStyle w:val="Sinespaciado"/>
        <w:jc w:val="both"/>
        <w:rPr>
          <w:rFonts w:ascii="Century Gothic" w:hAnsi="Century Gothic"/>
        </w:rPr>
      </w:pPr>
      <w:r w:rsidRPr="003A55A1">
        <w:rPr>
          <w:rFonts w:ascii="Century Gothic" w:hAnsi="Century Gothic"/>
        </w:rPr>
        <w:t>La amortización  de  intangibles  representados  por  licencias  de  uso  de  programas  de  cómputo  de calcula  al 33%  anual.</w:t>
      </w:r>
    </w:p>
    <w:p w:rsidR="00810DC8" w:rsidRPr="003A55A1" w:rsidRDefault="00810DC8" w:rsidP="00810DC8">
      <w:pPr>
        <w:pStyle w:val="Sinespaciado"/>
        <w:jc w:val="both"/>
        <w:rPr>
          <w:rFonts w:ascii="Century Gothic" w:hAnsi="Century Gothic"/>
        </w:rPr>
      </w:pPr>
    </w:p>
    <w:p w:rsidR="00876A49" w:rsidRPr="003A55A1" w:rsidRDefault="00876A49" w:rsidP="00810DC8">
      <w:pPr>
        <w:pStyle w:val="Sinespaciado"/>
        <w:jc w:val="both"/>
        <w:rPr>
          <w:rFonts w:ascii="Century Gothic" w:hAnsi="Century Gothic"/>
        </w:rPr>
      </w:pPr>
      <w:r w:rsidRPr="003A55A1">
        <w:rPr>
          <w:rFonts w:ascii="Century Gothic" w:hAnsi="Century Gothic"/>
        </w:rPr>
        <w:t>Se estima  que  la  vida  útil  aplicable  a inmuebles  es adecuada  en base  al uso  que  se  le  da  a  los  inmuebles  del Patronato.</w:t>
      </w:r>
    </w:p>
    <w:p w:rsidR="00876A49" w:rsidRPr="003A55A1" w:rsidRDefault="00876A49" w:rsidP="00810DC8">
      <w:pPr>
        <w:pStyle w:val="Sinespaciado"/>
        <w:jc w:val="both"/>
        <w:rPr>
          <w:rFonts w:ascii="Century Gothic" w:hAnsi="Century Gothic"/>
        </w:rPr>
      </w:pPr>
    </w:p>
    <w:p w:rsidR="00480678" w:rsidRPr="003A55A1" w:rsidRDefault="00480678" w:rsidP="00810DC8">
      <w:pPr>
        <w:pStyle w:val="Sinespaciado"/>
        <w:jc w:val="both"/>
        <w:rPr>
          <w:rFonts w:ascii="Century Gothic" w:hAnsi="Century Gothic"/>
        </w:rPr>
      </w:pPr>
      <w:r w:rsidRPr="003A55A1">
        <w:rPr>
          <w:rFonts w:ascii="Century Gothic" w:hAnsi="Century Gothic"/>
        </w:rPr>
        <w:t>b).- Cambios  en  el porcentaje  de  depreciación o valor  residual  de activos</w:t>
      </w:r>
    </w:p>
    <w:p w:rsidR="00480678" w:rsidRPr="003A55A1" w:rsidRDefault="00480678" w:rsidP="00810DC8">
      <w:pPr>
        <w:pStyle w:val="Sinespaciado"/>
        <w:jc w:val="both"/>
        <w:rPr>
          <w:rFonts w:ascii="Century Gothic" w:hAnsi="Century Gothic"/>
        </w:rPr>
      </w:pPr>
    </w:p>
    <w:p w:rsidR="00480678" w:rsidRPr="003A55A1" w:rsidRDefault="004B1F3E" w:rsidP="00810DC8">
      <w:pPr>
        <w:pStyle w:val="Sinespaciado"/>
        <w:jc w:val="both"/>
        <w:rPr>
          <w:rFonts w:ascii="Century Gothic" w:hAnsi="Century Gothic"/>
        </w:rPr>
      </w:pPr>
      <w:r w:rsidRPr="003A55A1">
        <w:rPr>
          <w:rFonts w:ascii="Century Gothic" w:hAnsi="Century Gothic"/>
        </w:rPr>
        <w:t xml:space="preserve">El Patronato </w:t>
      </w:r>
      <w:r w:rsidR="00480678" w:rsidRPr="003A55A1">
        <w:rPr>
          <w:rFonts w:ascii="Century Gothic" w:hAnsi="Century Gothic"/>
        </w:rPr>
        <w:t>no ha  tenido Cambios  en  el porcentaje  de  depreciación o valor  residual  de activos.</w:t>
      </w:r>
    </w:p>
    <w:p w:rsidR="00E3324A" w:rsidRPr="003A55A1" w:rsidRDefault="00E3324A" w:rsidP="00E3324A">
      <w:pPr>
        <w:pStyle w:val="Sinespaciado"/>
        <w:jc w:val="both"/>
        <w:rPr>
          <w:rFonts w:ascii="Century Gothic" w:hAnsi="Century Gothic"/>
        </w:rPr>
      </w:pPr>
    </w:p>
    <w:p w:rsidR="00480678" w:rsidRPr="003A55A1" w:rsidRDefault="00480678" w:rsidP="00810DC8">
      <w:pPr>
        <w:pStyle w:val="Sinespaciado"/>
        <w:jc w:val="both"/>
        <w:rPr>
          <w:rFonts w:ascii="Century Gothic" w:hAnsi="Century Gothic"/>
        </w:rPr>
      </w:pPr>
      <w:r w:rsidRPr="003A55A1">
        <w:rPr>
          <w:rFonts w:ascii="Century Gothic" w:hAnsi="Century Gothic"/>
        </w:rPr>
        <w:t>c).- Importe de  los  gastos capitalizados en el ejercicio, tanto financieros  como de  investigación y desarrollo.</w:t>
      </w:r>
    </w:p>
    <w:p w:rsidR="00480678" w:rsidRPr="003A55A1" w:rsidRDefault="00480678" w:rsidP="00810DC8">
      <w:pPr>
        <w:pStyle w:val="Sinespaciado"/>
        <w:jc w:val="both"/>
        <w:rPr>
          <w:rFonts w:ascii="Century Gothic" w:hAnsi="Century Gothic"/>
        </w:rPr>
      </w:pPr>
    </w:p>
    <w:p w:rsidR="00480678" w:rsidRPr="003A55A1" w:rsidRDefault="00DB21B4" w:rsidP="00810DC8">
      <w:pPr>
        <w:pStyle w:val="Sinespaciado"/>
        <w:jc w:val="both"/>
        <w:rPr>
          <w:rFonts w:ascii="Century Gothic" w:hAnsi="Century Gothic"/>
        </w:rPr>
      </w:pPr>
      <w:r w:rsidRPr="003A55A1">
        <w:rPr>
          <w:rFonts w:ascii="Century Gothic" w:hAnsi="Century Gothic"/>
        </w:rPr>
        <w:t xml:space="preserve">El Patronato </w:t>
      </w:r>
      <w:r w:rsidR="004B1F3E" w:rsidRPr="003A55A1">
        <w:rPr>
          <w:rFonts w:ascii="Century Gothic" w:hAnsi="Century Gothic"/>
        </w:rPr>
        <w:t xml:space="preserve"> </w:t>
      </w:r>
      <w:r w:rsidR="00480678" w:rsidRPr="003A55A1">
        <w:rPr>
          <w:rFonts w:ascii="Century Gothic" w:hAnsi="Century Gothic"/>
        </w:rPr>
        <w:t>no ha  tenido gastos capitalizados en el ejercicio, tanto financieros  como de  investigación y desarrollo.</w:t>
      </w:r>
    </w:p>
    <w:p w:rsidR="00480678" w:rsidRPr="003A55A1" w:rsidRDefault="00480678" w:rsidP="00810DC8">
      <w:pPr>
        <w:pStyle w:val="Sinespaciado"/>
        <w:jc w:val="both"/>
        <w:rPr>
          <w:rFonts w:ascii="Century Gothic" w:hAnsi="Century Gothic"/>
        </w:rPr>
      </w:pPr>
    </w:p>
    <w:p w:rsidR="00CE13A6" w:rsidRPr="003A55A1" w:rsidRDefault="00CE13A6" w:rsidP="00CE13A6">
      <w:pPr>
        <w:pStyle w:val="Sinespaciado"/>
        <w:jc w:val="both"/>
        <w:rPr>
          <w:rFonts w:ascii="Century Gothic" w:hAnsi="Century Gothic"/>
        </w:rPr>
      </w:pPr>
      <w:r w:rsidRPr="003A55A1">
        <w:rPr>
          <w:rFonts w:ascii="Century Gothic" w:hAnsi="Century Gothic"/>
        </w:rPr>
        <w:t>d) Riegos por tipo de cambio o tipo de interés de las inversiones financieras:</w:t>
      </w:r>
    </w:p>
    <w:p w:rsidR="00CE13A6" w:rsidRPr="003A55A1" w:rsidRDefault="00CE13A6" w:rsidP="00CE13A6">
      <w:pPr>
        <w:pStyle w:val="Sinespaciado"/>
        <w:jc w:val="both"/>
        <w:rPr>
          <w:rFonts w:ascii="Century Gothic" w:hAnsi="Century Gothic"/>
        </w:rPr>
      </w:pPr>
    </w:p>
    <w:p w:rsidR="00CE13A6" w:rsidRPr="003A55A1" w:rsidRDefault="00CE13A6" w:rsidP="00CE13A6">
      <w:pPr>
        <w:pStyle w:val="Sinespaciado"/>
        <w:jc w:val="both"/>
        <w:rPr>
          <w:rFonts w:ascii="Century Gothic" w:hAnsi="Century Gothic"/>
        </w:rPr>
      </w:pPr>
      <w:r w:rsidRPr="003A55A1">
        <w:rPr>
          <w:rFonts w:ascii="Century Gothic" w:hAnsi="Century Gothic"/>
        </w:rPr>
        <w:t>El Patronato no tiene riesgos por tipo de  cambio o tipo de  interés de las  inversiones  financieras</w:t>
      </w:r>
    </w:p>
    <w:p w:rsidR="00480678" w:rsidRPr="003A55A1" w:rsidRDefault="00480678" w:rsidP="00810DC8">
      <w:pPr>
        <w:pStyle w:val="Sinespaciado"/>
        <w:jc w:val="both"/>
        <w:rPr>
          <w:rFonts w:ascii="Century Gothic" w:hAnsi="Century Gothic"/>
        </w:rPr>
      </w:pPr>
    </w:p>
    <w:p w:rsidR="00CE13A6" w:rsidRPr="003A55A1" w:rsidRDefault="00CE13A6" w:rsidP="00CE13A6">
      <w:pPr>
        <w:pStyle w:val="Sinespaciado"/>
        <w:jc w:val="both"/>
        <w:rPr>
          <w:rFonts w:ascii="Century Gothic" w:hAnsi="Century Gothic"/>
        </w:rPr>
      </w:pPr>
      <w:r w:rsidRPr="003A55A1">
        <w:rPr>
          <w:rFonts w:ascii="Century Gothic" w:hAnsi="Century Gothic"/>
        </w:rPr>
        <w:t>e) Valor activado en el ejercicio de los bienes construidos por la entidad:</w:t>
      </w:r>
    </w:p>
    <w:p w:rsidR="00CE13A6" w:rsidRPr="003A55A1" w:rsidRDefault="00CE13A6" w:rsidP="00CE13A6">
      <w:pPr>
        <w:pStyle w:val="Sinespaciado"/>
        <w:jc w:val="both"/>
        <w:rPr>
          <w:rFonts w:ascii="Century Gothic" w:hAnsi="Century Gothic"/>
        </w:rPr>
      </w:pPr>
    </w:p>
    <w:p w:rsidR="00930153" w:rsidRPr="003A55A1" w:rsidRDefault="00930153" w:rsidP="00930153">
      <w:pPr>
        <w:jc w:val="both"/>
        <w:rPr>
          <w:rFonts w:ascii="Century Gothic" w:hAnsi="Century Gothic"/>
        </w:rPr>
      </w:pPr>
      <w:r w:rsidRPr="003A55A1">
        <w:rPr>
          <w:rFonts w:ascii="Century Gothic" w:hAnsi="Century Gothic"/>
        </w:rPr>
        <w:t>En el mes de enero de 2019, se cancelaron las cuentas de orden 751 contratos para inversión mediante proyectos para prestación de servicios y 752 inversión p</w:t>
      </w:r>
      <w:r w:rsidR="00752D23" w:rsidRPr="003A55A1">
        <w:rPr>
          <w:rFonts w:ascii="Century Gothic" w:hAnsi="Century Gothic"/>
        </w:rPr>
        <w:t>ú</w:t>
      </w:r>
      <w:r w:rsidRPr="003A55A1">
        <w:rPr>
          <w:rFonts w:ascii="Century Gothic" w:hAnsi="Century Gothic"/>
        </w:rPr>
        <w:t>blica contratada mediante proyectos para prestación de servicios, para comprometer los saldos de los contratos de obra que quedaron registrados en estas cuentas al cierre del ejercicio 2018 y ejercerlos en el ejercicio 2019, por la cantidad total 2,332,063.51</w:t>
      </w:r>
    </w:p>
    <w:p w:rsidR="00327B2E" w:rsidRPr="003A55A1" w:rsidRDefault="00327B2E" w:rsidP="00327B2E">
      <w:pPr>
        <w:jc w:val="both"/>
        <w:rPr>
          <w:rFonts w:ascii="Century Gothic" w:hAnsi="Century Gothic"/>
        </w:rPr>
      </w:pPr>
      <w:r w:rsidRPr="003A55A1">
        <w:rPr>
          <w:rFonts w:ascii="Century Gothic" w:hAnsi="Century Gothic"/>
        </w:rPr>
        <w:t xml:space="preserve">En el mes de enero de 2019 se </w:t>
      </w:r>
      <w:r w:rsidR="00930153" w:rsidRPr="003A55A1">
        <w:rPr>
          <w:rFonts w:ascii="Century Gothic" w:hAnsi="Century Gothic"/>
        </w:rPr>
        <w:t>capitalizó</w:t>
      </w:r>
      <w:r w:rsidRPr="003A55A1">
        <w:rPr>
          <w:rFonts w:ascii="Century Gothic" w:hAnsi="Century Gothic"/>
        </w:rPr>
        <w:t xml:space="preserve"> la obra en proceso construcción de módulo de sanitarios del parque explora a obra terminada en el rubro parque explora por un total de 1,131</w:t>
      </w:r>
      <w:r w:rsidR="00A31EF8" w:rsidRPr="003A55A1">
        <w:rPr>
          <w:rFonts w:ascii="Century Gothic" w:hAnsi="Century Gothic"/>
        </w:rPr>
        <w:t>, 610.28</w:t>
      </w:r>
      <w:r w:rsidRPr="003A55A1">
        <w:rPr>
          <w:rFonts w:ascii="Century Gothic" w:hAnsi="Century Gothic"/>
        </w:rPr>
        <w:t xml:space="preserve">, </w:t>
      </w:r>
      <w:r w:rsidR="00A31EF8" w:rsidRPr="003A55A1">
        <w:rPr>
          <w:rFonts w:ascii="Century Gothic" w:hAnsi="Century Gothic"/>
        </w:rPr>
        <w:t>más</w:t>
      </w:r>
      <w:r w:rsidRPr="003A55A1">
        <w:rPr>
          <w:rFonts w:ascii="Century Gothic" w:hAnsi="Century Gothic"/>
        </w:rPr>
        <w:t xml:space="preserve"> IVA.</w:t>
      </w:r>
    </w:p>
    <w:p w:rsidR="00327B2E" w:rsidRPr="003A55A1" w:rsidRDefault="00327B2E" w:rsidP="00327B2E">
      <w:pPr>
        <w:jc w:val="both"/>
        <w:rPr>
          <w:rFonts w:ascii="Century Gothic" w:hAnsi="Century Gothic"/>
        </w:rPr>
      </w:pPr>
      <w:r w:rsidRPr="003A55A1">
        <w:rPr>
          <w:rFonts w:ascii="Century Gothic" w:hAnsi="Century Gothic"/>
        </w:rPr>
        <w:lastRenderedPageBreak/>
        <w:t>En el mes de enero se devengó y pago estimación núm. 9 finiquit</w:t>
      </w:r>
      <w:r w:rsidR="00FD04E8" w:rsidRPr="003A55A1">
        <w:rPr>
          <w:rFonts w:ascii="Century Gothic" w:hAnsi="Century Gothic"/>
        </w:rPr>
        <w:t>o</w:t>
      </w:r>
      <w:r w:rsidRPr="003A55A1">
        <w:rPr>
          <w:rFonts w:ascii="Century Gothic" w:hAnsi="Century Gothic"/>
        </w:rPr>
        <w:t xml:space="preserve">  por  la cantidad de </w:t>
      </w:r>
      <w:r w:rsidR="00930153" w:rsidRPr="003A55A1">
        <w:rPr>
          <w:rFonts w:ascii="Century Gothic" w:hAnsi="Century Gothic"/>
        </w:rPr>
        <w:t>$</w:t>
      </w:r>
      <w:r w:rsidRPr="003A55A1">
        <w:rPr>
          <w:rFonts w:ascii="Century Gothic" w:hAnsi="Century Gothic"/>
        </w:rPr>
        <w:t xml:space="preserve">15,272.72  más </w:t>
      </w:r>
      <w:r w:rsidR="00752D23" w:rsidRPr="003A55A1">
        <w:rPr>
          <w:rFonts w:ascii="Century Gothic" w:hAnsi="Century Gothic"/>
        </w:rPr>
        <w:t>IVA</w:t>
      </w:r>
      <w:r w:rsidRPr="003A55A1">
        <w:rPr>
          <w:rFonts w:ascii="Century Gothic" w:hAnsi="Century Gothic"/>
        </w:rPr>
        <w:t xml:space="preserve"> por la gerencia de proyecto del edificio de restaurantes y estacionamiento en las instalaciones a nombre de proyecto arquitectura diseño ingeniería y supervisión </w:t>
      </w:r>
      <w:r w:rsidR="00752D23" w:rsidRPr="003A55A1">
        <w:rPr>
          <w:rFonts w:ascii="Century Gothic" w:hAnsi="Century Gothic"/>
        </w:rPr>
        <w:t>S.A.</w:t>
      </w:r>
      <w:r w:rsidRPr="003A55A1">
        <w:rPr>
          <w:rFonts w:ascii="Century Gothic" w:hAnsi="Century Gothic"/>
        </w:rPr>
        <w:t xml:space="preserve"> de </w:t>
      </w:r>
      <w:r w:rsidR="00752D23" w:rsidRPr="003A55A1">
        <w:rPr>
          <w:rFonts w:ascii="Century Gothic" w:hAnsi="Century Gothic"/>
        </w:rPr>
        <w:t>C.V.</w:t>
      </w:r>
    </w:p>
    <w:p w:rsidR="00327B2E" w:rsidRPr="003A55A1" w:rsidRDefault="00327B2E" w:rsidP="00327B2E">
      <w:pPr>
        <w:jc w:val="both"/>
        <w:rPr>
          <w:rFonts w:ascii="Century Gothic" w:hAnsi="Century Gothic"/>
        </w:rPr>
      </w:pPr>
      <w:r w:rsidRPr="003A55A1">
        <w:rPr>
          <w:rFonts w:ascii="Century Gothic" w:hAnsi="Century Gothic"/>
        </w:rPr>
        <w:t>En el mes de enero se devengó la estimación num</w:t>
      </w:r>
      <w:r w:rsidR="00752D23" w:rsidRPr="003A55A1">
        <w:rPr>
          <w:rFonts w:ascii="Century Gothic" w:hAnsi="Century Gothic"/>
        </w:rPr>
        <w:t>.</w:t>
      </w:r>
      <w:r w:rsidRPr="003A55A1">
        <w:rPr>
          <w:rFonts w:ascii="Century Gothic" w:hAnsi="Century Gothic"/>
        </w:rPr>
        <w:t xml:space="preserve"> 1 finiquito a nombre de agropecuaria ambiental del </w:t>
      </w:r>
      <w:r w:rsidR="00752D23" w:rsidRPr="003A55A1">
        <w:rPr>
          <w:rFonts w:ascii="Century Gothic" w:hAnsi="Century Gothic"/>
        </w:rPr>
        <w:t>B</w:t>
      </w:r>
      <w:r w:rsidRPr="003A55A1">
        <w:rPr>
          <w:rFonts w:ascii="Century Gothic" w:hAnsi="Century Gothic"/>
        </w:rPr>
        <w:t>aj</w:t>
      </w:r>
      <w:r w:rsidR="00752D23" w:rsidRPr="003A55A1">
        <w:rPr>
          <w:rFonts w:ascii="Century Gothic" w:hAnsi="Century Gothic"/>
        </w:rPr>
        <w:t>í</w:t>
      </w:r>
      <w:r w:rsidRPr="003A55A1">
        <w:rPr>
          <w:rFonts w:ascii="Century Gothic" w:hAnsi="Century Gothic"/>
        </w:rPr>
        <w:t>o, SPR de RL, quedando pendiente de pago,  por concepto de manejo de arbolado para habilitar superficie de estacionamiento en las instalaciones de la feria por la cantidad de 444,100.00 m</w:t>
      </w:r>
      <w:r w:rsidR="00752D23" w:rsidRPr="003A55A1">
        <w:rPr>
          <w:rFonts w:ascii="Century Gothic" w:hAnsi="Century Gothic"/>
        </w:rPr>
        <w:t>á</w:t>
      </w:r>
      <w:r w:rsidRPr="003A55A1">
        <w:rPr>
          <w:rFonts w:ascii="Century Gothic" w:hAnsi="Century Gothic"/>
        </w:rPr>
        <w:t xml:space="preserve">s </w:t>
      </w:r>
      <w:r w:rsidR="00752D23" w:rsidRPr="003A55A1">
        <w:rPr>
          <w:rFonts w:ascii="Century Gothic" w:hAnsi="Century Gothic"/>
        </w:rPr>
        <w:t>IVA</w:t>
      </w:r>
    </w:p>
    <w:p w:rsidR="00327B2E" w:rsidRPr="003A55A1" w:rsidRDefault="00327B2E" w:rsidP="00327B2E">
      <w:pPr>
        <w:jc w:val="both"/>
        <w:rPr>
          <w:rFonts w:ascii="Century Gothic" w:hAnsi="Century Gothic"/>
        </w:rPr>
      </w:pPr>
      <w:r w:rsidRPr="003A55A1">
        <w:rPr>
          <w:rFonts w:ascii="Century Gothic" w:hAnsi="Century Gothic"/>
        </w:rPr>
        <w:t xml:space="preserve">En el mes de enero de 2019 se </w:t>
      </w:r>
      <w:r w:rsidR="00A31EF8" w:rsidRPr="003A55A1">
        <w:rPr>
          <w:rFonts w:ascii="Century Gothic" w:hAnsi="Century Gothic"/>
        </w:rPr>
        <w:t>adquirieron:</w:t>
      </w:r>
      <w:r w:rsidRPr="003A55A1">
        <w:rPr>
          <w:rFonts w:ascii="Century Gothic" w:hAnsi="Century Gothic"/>
        </w:rPr>
        <w:t xml:space="preserve"> 4 calentadores para el área de espectáculos por la cantidad de 98,739.00 más IVA, 1 camioneta </w:t>
      </w:r>
      <w:r w:rsidR="00752D23" w:rsidRPr="003A55A1">
        <w:rPr>
          <w:rFonts w:ascii="Century Gothic" w:hAnsi="Century Gothic"/>
        </w:rPr>
        <w:t>N</w:t>
      </w:r>
      <w:r w:rsidRPr="003A55A1">
        <w:rPr>
          <w:rFonts w:ascii="Century Gothic" w:hAnsi="Century Gothic"/>
        </w:rPr>
        <w:t>issan para la subdirección de servicios generales por la cantidad de 226,206.90 mas IVA y 2 remolques para el área de taquillas por la cantidad 140,600.00 m</w:t>
      </w:r>
      <w:r w:rsidR="00752D23" w:rsidRPr="003A55A1">
        <w:rPr>
          <w:rFonts w:ascii="Century Gothic" w:hAnsi="Century Gothic"/>
        </w:rPr>
        <w:t>á</w:t>
      </w:r>
      <w:r w:rsidRPr="003A55A1">
        <w:rPr>
          <w:rFonts w:ascii="Century Gothic" w:hAnsi="Century Gothic"/>
        </w:rPr>
        <w:t>s IVA</w:t>
      </w:r>
      <w:r w:rsidR="00752D23" w:rsidRPr="003A55A1">
        <w:rPr>
          <w:rFonts w:ascii="Century Gothic" w:hAnsi="Century Gothic"/>
        </w:rPr>
        <w:t>.</w:t>
      </w:r>
    </w:p>
    <w:p w:rsidR="005460BC" w:rsidRPr="003A55A1" w:rsidRDefault="005460BC" w:rsidP="00327B2E">
      <w:pPr>
        <w:jc w:val="both"/>
        <w:rPr>
          <w:rFonts w:ascii="Century Gothic" w:hAnsi="Century Gothic"/>
        </w:rPr>
      </w:pPr>
      <w:r w:rsidRPr="003A55A1">
        <w:rPr>
          <w:rFonts w:ascii="Century Gothic" w:hAnsi="Century Gothic"/>
        </w:rPr>
        <w:t>En el mes de febrero de 2019, se pagó a CAFEL ingenier</w:t>
      </w:r>
      <w:r w:rsidR="00752D23" w:rsidRPr="003A55A1">
        <w:rPr>
          <w:rFonts w:ascii="Century Gothic" w:hAnsi="Century Gothic"/>
        </w:rPr>
        <w:t>í</w:t>
      </w:r>
      <w:r w:rsidRPr="003A55A1">
        <w:rPr>
          <w:rFonts w:ascii="Century Gothic" w:hAnsi="Century Gothic"/>
        </w:rPr>
        <w:t>a la segunda estimación finiquito del contrato de cálculo estructural para estacionamiento y edificio de bares y restaurantes en las instalaciones de la feria por la cantidad de 400,000.00 m</w:t>
      </w:r>
      <w:r w:rsidR="00752D23" w:rsidRPr="003A55A1">
        <w:rPr>
          <w:rFonts w:ascii="Century Gothic" w:hAnsi="Century Gothic"/>
        </w:rPr>
        <w:t>á</w:t>
      </w:r>
      <w:r w:rsidRPr="003A55A1">
        <w:rPr>
          <w:rFonts w:ascii="Century Gothic" w:hAnsi="Century Gothic"/>
        </w:rPr>
        <w:t>s IVA</w:t>
      </w:r>
    </w:p>
    <w:p w:rsidR="005460BC" w:rsidRPr="003A55A1" w:rsidRDefault="005460BC" w:rsidP="00327B2E">
      <w:pPr>
        <w:jc w:val="both"/>
        <w:rPr>
          <w:rFonts w:ascii="Century Gothic" w:hAnsi="Century Gothic"/>
        </w:rPr>
      </w:pPr>
      <w:r w:rsidRPr="003A55A1">
        <w:rPr>
          <w:rFonts w:ascii="Century Gothic" w:hAnsi="Century Gothic"/>
        </w:rPr>
        <w:t xml:space="preserve"> En el mes de febrero de 2019, se pagó a GRUPO MARPE CONSULTORES la segunda estimación finiquito del proyecto de instalaciones </w:t>
      </w:r>
      <w:r w:rsidR="002433E2" w:rsidRPr="003A55A1">
        <w:rPr>
          <w:rFonts w:ascii="Century Gothic" w:hAnsi="Century Gothic"/>
        </w:rPr>
        <w:t>especiales</w:t>
      </w:r>
      <w:r w:rsidRPr="003A55A1">
        <w:rPr>
          <w:rFonts w:ascii="Century Gothic" w:hAnsi="Century Gothic"/>
        </w:rPr>
        <w:t xml:space="preserve"> de estacionamiento y edificio de bares y restaurantes en las instalaciones de la feria por la cantidad de 124,800.00 m</w:t>
      </w:r>
      <w:r w:rsidR="00752D23" w:rsidRPr="003A55A1">
        <w:rPr>
          <w:rFonts w:ascii="Century Gothic" w:hAnsi="Century Gothic"/>
        </w:rPr>
        <w:t>á</w:t>
      </w:r>
      <w:r w:rsidRPr="003A55A1">
        <w:rPr>
          <w:rFonts w:ascii="Century Gothic" w:hAnsi="Century Gothic"/>
        </w:rPr>
        <w:t>s IVA.</w:t>
      </w:r>
    </w:p>
    <w:p w:rsidR="005460BC" w:rsidRPr="003A55A1" w:rsidRDefault="005460BC" w:rsidP="005460BC">
      <w:pPr>
        <w:jc w:val="both"/>
        <w:rPr>
          <w:rFonts w:ascii="Century Gothic" w:hAnsi="Century Gothic"/>
        </w:rPr>
      </w:pPr>
      <w:r w:rsidRPr="003A55A1">
        <w:rPr>
          <w:rFonts w:ascii="Century Gothic" w:hAnsi="Century Gothic"/>
        </w:rPr>
        <w:t xml:space="preserve">En el mes de febrero de 2019, se pagó a NUÑO MAC GREGOR Y DE BUEN ARQUITECTOS  la segunda y tercera estimación del proyecto constructivo </w:t>
      </w:r>
      <w:r w:rsidR="000D1F24" w:rsidRPr="003A55A1">
        <w:rPr>
          <w:rFonts w:ascii="Century Gothic" w:hAnsi="Century Gothic"/>
        </w:rPr>
        <w:t xml:space="preserve">del </w:t>
      </w:r>
      <w:r w:rsidRPr="003A55A1">
        <w:rPr>
          <w:rFonts w:ascii="Century Gothic" w:hAnsi="Century Gothic"/>
        </w:rPr>
        <w:t xml:space="preserve">edificio de bares y restaurantes en las instalaciones de la feria por la cantidad de </w:t>
      </w:r>
      <w:r w:rsidR="000D1F24" w:rsidRPr="003A55A1">
        <w:rPr>
          <w:rFonts w:ascii="Century Gothic" w:hAnsi="Century Gothic"/>
        </w:rPr>
        <w:t xml:space="preserve">870,000.00 </w:t>
      </w:r>
      <w:r w:rsidRPr="003A55A1">
        <w:rPr>
          <w:rFonts w:ascii="Century Gothic" w:hAnsi="Century Gothic"/>
        </w:rPr>
        <w:t>m</w:t>
      </w:r>
      <w:r w:rsidR="00752D23" w:rsidRPr="003A55A1">
        <w:rPr>
          <w:rFonts w:ascii="Century Gothic" w:hAnsi="Century Gothic"/>
        </w:rPr>
        <w:t>á</w:t>
      </w:r>
      <w:r w:rsidRPr="003A55A1">
        <w:rPr>
          <w:rFonts w:ascii="Century Gothic" w:hAnsi="Century Gothic"/>
        </w:rPr>
        <w:t>s IVA.</w:t>
      </w:r>
    </w:p>
    <w:p w:rsidR="000D1F24" w:rsidRPr="003A55A1" w:rsidRDefault="000D1F24" w:rsidP="005460BC">
      <w:pPr>
        <w:jc w:val="both"/>
        <w:rPr>
          <w:rFonts w:ascii="Century Gothic" w:hAnsi="Century Gothic"/>
        </w:rPr>
      </w:pPr>
      <w:r w:rsidRPr="003A55A1">
        <w:rPr>
          <w:rFonts w:ascii="Century Gothic" w:hAnsi="Century Gothic"/>
        </w:rPr>
        <w:t>En el mes de febrero de 2019 se adquirieron do</w:t>
      </w:r>
      <w:r w:rsidR="002433E2" w:rsidRPr="003A55A1">
        <w:rPr>
          <w:rFonts w:ascii="Century Gothic" w:hAnsi="Century Gothic"/>
        </w:rPr>
        <w:t>s módulos de información por 70</w:t>
      </w:r>
      <w:r w:rsidRPr="003A55A1">
        <w:rPr>
          <w:rFonts w:ascii="Century Gothic" w:hAnsi="Century Gothic"/>
        </w:rPr>
        <w:t xml:space="preserve">,000.00 </w:t>
      </w:r>
      <w:r w:rsidR="002433E2" w:rsidRPr="003A55A1">
        <w:rPr>
          <w:rFonts w:ascii="Century Gothic" w:hAnsi="Century Gothic"/>
        </w:rPr>
        <w:t>más</w:t>
      </w:r>
      <w:r w:rsidRPr="003A55A1">
        <w:rPr>
          <w:rFonts w:ascii="Century Gothic" w:hAnsi="Century Gothic"/>
        </w:rPr>
        <w:t xml:space="preserve"> IVA</w:t>
      </w:r>
      <w:r w:rsidR="002433E2" w:rsidRPr="003A55A1">
        <w:rPr>
          <w:rFonts w:ascii="Century Gothic" w:hAnsi="Century Gothic"/>
        </w:rPr>
        <w:t xml:space="preserve"> para la gerencia de mercadotecnia</w:t>
      </w:r>
    </w:p>
    <w:p w:rsidR="00B51F0B" w:rsidRPr="003A55A1" w:rsidRDefault="00B51F0B" w:rsidP="005460BC">
      <w:pPr>
        <w:jc w:val="both"/>
        <w:rPr>
          <w:rFonts w:ascii="Century Gothic" w:hAnsi="Century Gothic"/>
        </w:rPr>
      </w:pPr>
      <w:r w:rsidRPr="003A55A1">
        <w:rPr>
          <w:rFonts w:ascii="Century Gothic" w:hAnsi="Century Gothic"/>
        </w:rPr>
        <w:t>En el mes de marzo de 2019 se pagó a Osorio Gasso Luis Oscar gestor</w:t>
      </w:r>
      <w:r w:rsidR="00752D23" w:rsidRPr="003A55A1">
        <w:rPr>
          <w:rFonts w:ascii="Century Gothic" w:hAnsi="Century Gothic"/>
        </w:rPr>
        <w:t>í</w:t>
      </w:r>
      <w:r w:rsidRPr="003A55A1">
        <w:rPr>
          <w:rFonts w:ascii="Century Gothic" w:hAnsi="Century Gothic"/>
        </w:rPr>
        <w:t>a y tramite de construcción de m</w:t>
      </w:r>
      <w:r w:rsidR="00752D23" w:rsidRPr="003A55A1">
        <w:rPr>
          <w:rFonts w:ascii="Century Gothic" w:hAnsi="Century Gothic"/>
        </w:rPr>
        <w:t>ó</w:t>
      </w:r>
      <w:r w:rsidRPr="003A55A1">
        <w:rPr>
          <w:rFonts w:ascii="Century Gothic" w:hAnsi="Century Gothic"/>
        </w:rPr>
        <w:t xml:space="preserve">dulos sanitarios salida calle san </w:t>
      </w:r>
      <w:r w:rsidR="00752D23" w:rsidRPr="003A55A1">
        <w:rPr>
          <w:rFonts w:ascii="Century Gothic" w:hAnsi="Century Gothic"/>
        </w:rPr>
        <w:t>S</w:t>
      </w:r>
      <w:r w:rsidRPr="003A55A1">
        <w:rPr>
          <w:rFonts w:ascii="Century Gothic" w:hAnsi="Century Gothic"/>
        </w:rPr>
        <w:t>ebasti</w:t>
      </w:r>
      <w:r w:rsidR="00752D23" w:rsidRPr="003A55A1">
        <w:rPr>
          <w:rFonts w:ascii="Century Gothic" w:hAnsi="Century Gothic"/>
        </w:rPr>
        <w:t>á</w:t>
      </w:r>
      <w:r w:rsidRPr="003A55A1">
        <w:rPr>
          <w:rFonts w:ascii="Century Gothic" w:hAnsi="Century Gothic"/>
        </w:rPr>
        <w:t>n en parque explora por la cantidad de 12,000.00 m</w:t>
      </w:r>
      <w:r w:rsidR="00752D23" w:rsidRPr="003A55A1">
        <w:rPr>
          <w:rFonts w:ascii="Century Gothic" w:hAnsi="Century Gothic"/>
        </w:rPr>
        <w:t>á</w:t>
      </w:r>
      <w:r w:rsidRPr="003A55A1">
        <w:rPr>
          <w:rFonts w:ascii="Century Gothic" w:hAnsi="Century Gothic"/>
        </w:rPr>
        <w:t>s IVA</w:t>
      </w:r>
    </w:p>
    <w:p w:rsidR="00B51F0B" w:rsidRPr="003A55A1" w:rsidRDefault="00B51F0B" w:rsidP="005460BC">
      <w:pPr>
        <w:jc w:val="both"/>
        <w:rPr>
          <w:rFonts w:ascii="Century Gothic" w:hAnsi="Century Gothic"/>
        </w:rPr>
      </w:pPr>
      <w:r w:rsidRPr="003A55A1">
        <w:rPr>
          <w:rFonts w:ascii="Century Gothic" w:hAnsi="Century Gothic"/>
        </w:rPr>
        <w:t>En el mes de marzo de 2019 se pagó a Delgado Medel Jorge el desmantelamiento de estructuras para liberar espacio en trabajos de obra del estacionamiento por la cantidad 6,150.00 m</w:t>
      </w:r>
      <w:r w:rsidR="00752D23" w:rsidRPr="003A55A1">
        <w:rPr>
          <w:rFonts w:ascii="Century Gothic" w:hAnsi="Century Gothic"/>
        </w:rPr>
        <w:t>ás</w:t>
      </w:r>
      <w:r w:rsidRPr="003A55A1">
        <w:rPr>
          <w:rFonts w:ascii="Century Gothic" w:hAnsi="Century Gothic"/>
        </w:rPr>
        <w:t xml:space="preserve"> IVA.</w:t>
      </w:r>
    </w:p>
    <w:p w:rsidR="00B51F0B" w:rsidRPr="003A55A1" w:rsidRDefault="00B51F0B" w:rsidP="005460BC">
      <w:pPr>
        <w:jc w:val="both"/>
        <w:rPr>
          <w:rFonts w:ascii="Century Gothic" w:hAnsi="Century Gothic"/>
        </w:rPr>
      </w:pPr>
      <w:r w:rsidRPr="003A55A1">
        <w:rPr>
          <w:rFonts w:ascii="Century Gothic" w:hAnsi="Century Gothic"/>
        </w:rPr>
        <w:t xml:space="preserve"> En el mes de marzo de 2019 se pagó a ORG de M</w:t>
      </w:r>
      <w:r w:rsidR="00752D23" w:rsidRPr="003A55A1">
        <w:rPr>
          <w:rFonts w:ascii="Century Gothic" w:hAnsi="Century Gothic"/>
        </w:rPr>
        <w:t>é</w:t>
      </w:r>
      <w:r w:rsidRPr="003A55A1">
        <w:rPr>
          <w:rFonts w:ascii="Century Gothic" w:hAnsi="Century Gothic"/>
        </w:rPr>
        <w:t>xico, S.A. DE C.V. demolición de losa para liberar espacio de trabajo de constructoras que realizan obras de estacionamiento por la cantidad de 24,256.26 m</w:t>
      </w:r>
      <w:r w:rsidR="00752D23" w:rsidRPr="003A55A1">
        <w:rPr>
          <w:rFonts w:ascii="Century Gothic" w:hAnsi="Century Gothic"/>
        </w:rPr>
        <w:t>á</w:t>
      </w:r>
      <w:r w:rsidRPr="003A55A1">
        <w:rPr>
          <w:rFonts w:ascii="Century Gothic" w:hAnsi="Century Gothic"/>
        </w:rPr>
        <w:t>s IVA</w:t>
      </w:r>
    </w:p>
    <w:p w:rsidR="00B51F0B" w:rsidRPr="003A55A1" w:rsidRDefault="00B51F0B" w:rsidP="005460BC">
      <w:pPr>
        <w:jc w:val="both"/>
        <w:rPr>
          <w:rFonts w:ascii="Century Gothic" w:hAnsi="Century Gothic"/>
        </w:rPr>
      </w:pPr>
      <w:r w:rsidRPr="003A55A1">
        <w:rPr>
          <w:rFonts w:ascii="Century Gothic" w:hAnsi="Century Gothic"/>
        </w:rPr>
        <w:lastRenderedPageBreak/>
        <w:t xml:space="preserve">En el mes de marzo de 2019 se pagó  a Constructora Madaco, </w:t>
      </w:r>
      <w:r w:rsidR="00A31EF8" w:rsidRPr="003A55A1">
        <w:rPr>
          <w:rFonts w:ascii="Century Gothic" w:hAnsi="Century Gothic"/>
        </w:rPr>
        <w:t>S. De</w:t>
      </w:r>
      <w:r w:rsidRPr="003A55A1">
        <w:rPr>
          <w:rFonts w:ascii="Century Gothic" w:hAnsi="Century Gothic"/>
        </w:rPr>
        <w:t xml:space="preserve"> R.L. de C.V la primera estimación construcción de m</w:t>
      </w:r>
      <w:r w:rsidR="00752D23" w:rsidRPr="003A55A1">
        <w:rPr>
          <w:rFonts w:ascii="Century Gothic" w:hAnsi="Century Gothic"/>
        </w:rPr>
        <w:t>ó</w:t>
      </w:r>
      <w:r w:rsidRPr="003A55A1">
        <w:rPr>
          <w:rFonts w:ascii="Century Gothic" w:hAnsi="Century Gothic"/>
        </w:rPr>
        <w:t xml:space="preserve">dulos sanitarios y espacio comercial en el parque explora por la cantidad de 20,974.18 </w:t>
      </w:r>
      <w:r w:rsidR="00A31EF8" w:rsidRPr="003A55A1">
        <w:rPr>
          <w:rFonts w:ascii="Century Gothic" w:hAnsi="Century Gothic"/>
        </w:rPr>
        <w:t>más</w:t>
      </w:r>
      <w:r w:rsidRPr="003A55A1">
        <w:rPr>
          <w:rFonts w:ascii="Century Gothic" w:hAnsi="Century Gothic"/>
        </w:rPr>
        <w:t xml:space="preserve"> IVA</w:t>
      </w:r>
    </w:p>
    <w:p w:rsidR="00B51F0B" w:rsidRPr="003A55A1" w:rsidRDefault="00B51F0B" w:rsidP="00B51F0B">
      <w:pPr>
        <w:jc w:val="both"/>
        <w:rPr>
          <w:rFonts w:ascii="Century Gothic" w:hAnsi="Century Gothic"/>
        </w:rPr>
      </w:pPr>
      <w:r w:rsidRPr="003A55A1">
        <w:rPr>
          <w:rFonts w:ascii="Century Gothic" w:hAnsi="Century Gothic"/>
        </w:rPr>
        <w:t xml:space="preserve">En el mes de marzo de 2019 se pagó  a Constructora Madaco, </w:t>
      </w:r>
      <w:r w:rsidR="00A31EF8" w:rsidRPr="003A55A1">
        <w:rPr>
          <w:rFonts w:ascii="Century Gothic" w:hAnsi="Century Gothic"/>
        </w:rPr>
        <w:t>S. De</w:t>
      </w:r>
      <w:r w:rsidRPr="003A55A1">
        <w:rPr>
          <w:rFonts w:ascii="Century Gothic" w:hAnsi="Century Gothic"/>
        </w:rPr>
        <w:t xml:space="preserve"> R.L. de C.V la segunda estimación construcción de m</w:t>
      </w:r>
      <w:r w:rsidR="00752D23" w:rsidRPr="003A55A1">
        <w:rPr>
          <w:rFonts w:ascii="Century Gothic" w:hAnsi="Century Gothic"/>
        </w:rPr>
        <w:t>ó</w:t>
      </w:r>
      <w:r w:rsidRPr="003A55A1">
        <w:rPr>
          <w:rFonts w:ascii="Century Gothic" w:hAnsi="Century Gothic"/>
        </w:rPr>
        <w:t xml:space="preserve">dulos sanitarios y espacio comercial en el parque explora por la cantidad de 133,535.76 </w:t>
      </w:r>
      <w:r w:rsidR="00A31EF8" w:rsidRPr="003A55A1">
        <w:rPr>
          <w:rFonts w:ascii="Century Gothic" w:hAnsi="Century Gothic"/>
        </w:rPr>
        <w:t>más</w:t>
      </w:r>
      <w:r w:rsidRPr="003A55A1">
        <w:rPr>
          <w:rFonts w:ascii="Century Gothic" w:hAnsi="Century Gothic"/>
        </w:rPr>
        <w:t xml:space="preserve"> IVA.</w:t>
      </w:r>
    </w:p>
    <w:p w:rsidR="00B51F0B" w:rsidRPr="003A55A1" w:rsidRDefault="00B51F0B" w:rsidP="00B51F0B">
      <w:pPr>
        <w:jc w:val="both"/>
        <w:rPr>
          <w:rFonts w:ascii="Century Gothic" w:hAnsi="Century Gothic"/>
        </w:rPr>
      </w:pPr>
      <w:r w:rsidRPr="003A55A1">
        <w:rPr>
          <w:rFonts w:ascii="Century Gothic" w:hAnsi="Century Gothic"/>
        </w:rPr>
        <w:t>En el mes de marzo de 2019 se pagó  a Metales Laminadas APARMEX, S.A. de C.V. desmantelamiento y demolición del salón C1 en las instalaciones de la feria por la cantidad de 580,081.55 m</w:t>
      </w:r>
      <w:r w:rsidR="00752D23" w:rsidRPr="003A55A1">
        <w:rPr>
          <w:rFonts w:ascii="Century Gothic" w:hAnsi="Century Gothic"/>
        </w:rPr>
        <w:t>á</w:t>
      </w:r>
      <w:r w:rsidRPr="003A55A1">
        <w:rPr>
          <w:rFonts w:ascii="Century Gothic" w:hAnsi="Century Gothic"/>
        </w:rPr>
        <w:t>s IVA</w:t>
      </w:r>
    </w:p>
    <w:p w:rsidR="00B51F0B" w:rsidRPr="003A55A1" w:rsidRDefault="00B51F0B" w:rsidP="00B51F0B">
      <w:pPr>
        <w:jc w:val="both"/>
        <w:rPr>
          <w:rFonts w:ascii="Century Gothic" w:hAnsi="Century Gothic"/>
        </w:rPr>
      </w:pPr>
      <w:r w:rsidRPr="003A55A1">
        <w:rPr>
          <w:rFonts w:ascii="Century Gothic" w:hAnsi="Century Gothic"/>
        </w:rPr>
        <w:t xml:space="preserve">En el mes de marzo de 2019 se devengó </w:t>
      </w:r>
      <w:r w:rsidR="00A31EF8" w:rsidRPr="003A55A1">
        <w:rPr>
          <w:rFonts w:ascii="Century Gothic" w:hAnsi="Century Gothic"/>
        </w:rPr>
        <w:t>trámite</w:t>
      </w:r>
      <w:r w:rsidR="00984B5D" w:rsidRPr="003A55A1">
        <w:rPr>
          <w:rFonts w:ascii="Century Gothic" w:hAnsi="Century Gothic"/>
        </w:rPr>
        <w:t xml:space="preserve"> de licencia de uso de suelo y venta de formas por 2,795.11 a nombre de Torres Garc</w:t>
      </w:r>
      <w:r w:rsidR="00752D23" w:rsidRPr="003A55A1">
        <w:rPr>
          <w:rFonts w:ascii="Century Gothic" w:hAnsi="Century Gothic"/>
        </w:rPr>
        <w:t>í</w:t>
      </w:r>
      <w:r w:rsidR="00984B5D" w:rsidRPr="003A55A1">
        <w:rPr>
          <w:rFonts w:ascii="Century Gothic" w:hAnsi="Century Gothic"/>
        </w:rPr>
        <w:t>a Antonio.</w:t>
      </w:r>
    </w:p>
    <w:p w:rsidR="00984B5D" w:rsidRPr="003A55A1" w:rsidRDefault="00984B5D" w:rsidP="00B51F0B">
      <w:pPr>
        <w:jc w:val="both"/>
        <w:rPr>
          <w:rFonts w:ascii="Century Gothic" w:hAnsi="Century Gothic"/>
        </w:rPr>
      </w:pPr>
      <w:r w:rsidRPr="003A55A1">
        <w:rPr>
          <w:rFonts w:ascii="Century Gothic" w:hAnsi="Century Gothic"/>
        </w:rPr>
        <w:t>En el mes de marzo de 2019 se devengó segunda estimación  proyecto de instalaciones del estacion</w:t>
      </w:r>
      <w:r w:rsidR="00752D23" w:rsidRPr="003A55A1">
        <w:rPr>
          <w:rFonts w:ascii="Century Gothic" w:hAnsi="Century Gothic"/>
        </w:rPr>
        <w:t>a</w:t>
      </w:r>
      <w:r w:rsidRPr="003A55A1">
        <w:rPr>
          <w:rFonts w:ascii="Century Gothic" w:hAnsi="Century Gothic"/>
        </w:rPr>
        <w:t>miento y edifico de bares y restaurantes por la cantidad de 95,000 m</w:t>
      </w:r>
      <w:r w:rsidR="00752D23" w:rsidRPr="003A55A1">
        <w:rPr>
          <w:rFonts w:ascii="Century Gothic" w:hAnsi="Century Gothic"/>
        </w:rPr>
        <w:t>á</w:t>
      </w:r>
      <w:r w:rsidRPr="003A55A1">
        <w:rPr>
          <w:rFonts w:ascii="Century Gothic" w:hAnsi="Century Gothic"/>
        </w:rPr>
        <w:t xml:space="preserve">s </w:t>
      </w:r>
      <w:r w:rsidR="00752D23" w:rsidRPr="003A55A1">
        <w:rPr>
          <w:rFonts w:ascii="Century Gothic" w:hAnsi="Century Gothic"/>
        </w:rPr>
        <w:t>IVA</w:t>
      </w:r>
      <w:r w:rsidRPr="003A55A1">
        <w:rPr>
          <w:rFonts w:ascii="Century Gothic" w:hAnsi="Century Gothic"/>
        </w:rPr>
        <w:t xml:space="preserve"> a nombre de IMATI PROYECTOS, S.A. DE </w:t>
      </w:r>
      <w:r w:rsidR="00A31EF8" w:rsidRPr="003A55A1">
        <w:rPr>
          <w:rFonts w:ascii="Century Gothic" w:hAnsi="Century Gothic"/>
        </w:rPr>
        <w:t>C.V.</w:t>
      </w:r>
    </w:p>
    <w:p w:rsidR="00984B5D" w:rsidRPr="003A55A1" w:rsidRDefault="00984B5D" w:rsidP="00984B5D">
      <w:pPr>
        <w:jc w:val="both"/>
        <w:rPr>
          <w:rFonts w:ascii="Century Gothic" w:hAnsi="Century Gothic"/>
        </w:rPr>
      </w:pPr>
      <w:r w:rsidRPr="003A55A1">
        <w:rPr>
          <w:rFonts w:ascii="Century Gothic" w:hAnsi="Century Gothic"/>
        </w:rPr>
        <w:t>En el mes de marzo de 2019 se devengó tercera estimación  proyecto de instalaciones del estacion</w:t>
      </w:r>
      <w:r w:rsidR="00752D23" w:rsidRPr="003A55A1">
        <w:rPr>
          <w:rFonts w:ascii="Century Gothic" w:hAnsi="Century Gothic"/>
        </w:rPr>
        <w:t>a</w:t>
      </w:r>
      <w:r w:rsidRPr="003A55A1">
        <w:rPr>
          <w:rFonts w:ascii="Century Gothic" w:hAnsi="Century Gothic"/>
        </w:rPr>
        <w:t>miento y edifico de bares y restaurantes por la cantidad de 95,000 m</w:t>
      </w:r>
      <w:r w:rsidR="00752D23" w:rsidRPr="003A55A1">
        <w:rPr>
          <w:rFonts w:ascii="Century Gothic" w:hAnsi="Century Gothic"/>
        </w:rPr>
        <w:t>á</w:t>
      </w:r>
      <w:r w:rsidRPr="003A55A1">
        <w:rPr>
          <w:rFonts w:ascii="Century Gothic" w:hAnsi="Century Gothic"/>
        </w:rPr>
        <w:t xml:space="preserve">s </w:t>
      </w:r>
      <w:r w:rsidR="00752D23" w:rsidRPr="003A55A1">
        <w:rPr>
          <w:rFonts w:ascii="Century Gothic" w:hAnsi="Century Gothic"/>
        </w:rPr>
        <w:t>IVA</w:t>
      </w:r>
      <w:r w:rsidRPr="003A55A1">
        <w:rPr>
          <w:rFonts w:ascii="Century Gothic" w:hAnsi="Century Gothic"/>
        </w:rPr>
        <w:t xml:space="preserve"> a nombre de IMATI PROYECTOS, S.A. DE C.V.</w:t>
      </w:r>
    </w:p>
    <w:p w:rsidR="00984B5D" w:rsidRPr="003A55A1" w:rsidRDefault="00984B5D" w:rsidP="00984B5D">
      <w:pPr>
        <w:jc w:val="both"/>
        <w:rPr>
          <w:rFonts w:ascii="Century Gothic" w:hAnsi="Century Gothic"/>
        </w:rPr>
      </w:pPr>
      <w:r w:rsidRPr="003A55A1">
        <w:rPr>
          <w:rFonts w:ascii="Century Gothic" w:hAnsi="Century Gothic"/>
        </w:rPr>
        <w:t xml:space="preserve">En el mes de marzo de 2019 se devengó tercera </w:t>
      </w:r>
      <w:r w:rsidR="00905669" w:rsidRPr="003A55A1">
        <w:rPr>
          <w:rFonts w:ascii="Century Gothic" w:hAnsi="Century Gothic"/>
        </w:rPr>
        <w:t xml:space="preserve">y cuarta </w:t>
      </w:r>
      <w:r w:rsidRPr="003A55A1">
        <w:rPr>
          <w:rFonts w:ascii="Century Gothic" w:hAnsi="Century Gothic"/>
        </w:rPr>
        <w:t>estimación  construcci</w:t>
      </w:r>
      <w:r w:rsidR="00752D23" w:rsidRPr="003A55A1">
        <w:rPr>
          <w:rFonts w:ascii="Century Gothic" w:hAnsi="Century Gothic"/>
        </w:rPr>
        <w:t>ó</w:t>
      </w:r>
      <w:r w:rsidRPr="003A55A1">
        <w:rPr>
          <w:rFonts w:ascii="Century Gothic" w:hAnsi="Century Gothic"/>
        </w:rPr>
        <w:t>n m</w:t>
      </w:r>
      <w:r w:rsidR="00752D23" w:rsidRPr="003A55A1">
        <w:rPr>
          <w:rFonts w:ascii="Century Gothic" w:hAnsi="Century Gothic"/>
        </w:rPr>
        <w:t>ó</w:t>
      </w:r>
      <w:r w:rsidRPr="003A55A1">
        <w:rPr>
          <w:rFonts w:ascii="Century Gothic" w:hAnsi="Century Gothic"/>
        </w:rPr>
        <w:t xml:space="preserve">dulo de sanitarios y espacio comercial en el parque explora por la cantidad de 152,322.23 </w:t>
      </w:r>
      <w:r w:rsidR="00905669" w:rsidRPr="003A55A1">
        <w:rPr>
          <w:rFonts w:ascii="Century Gothic" w:hAnsi="Century Gothic"/>
        </w:rPr>
        <w:t xml:space="preserve"> y 122,015.47 </w:t>
      </w:r>
      <w:r w:rsidR="00A31EF8" w:rsidRPr="003A55A1">
        <w:rPr>
          <w:rFonts w:ascii="Century Gothic" w:hAnsi="Century Gothic"/>
        </w:rPr>
        <w:t>más</w:t>
      </w:r>
      <w:r w:rsidR="00905669" w:rsidRPr="003A55A1">
        <w:rPr>
          <w:rFonts w:ascii="Century Gothic" w:hAnsi="Century Gothic"/>
        </w:rPr>
        <w:t xml:space="preserve"> IVA a nombre de Constructora Madaco, S.</w:t>
      </w:r>
      <w:r w:rsidR="00752D23" w:rsidRPr="003A55A1">
        <w:rPr>
          <w:rFonts w:ascii="Century Gothic" w:hAnsi="Century Gothic"/>
        </w:rPr>
        <w:t xml:space="preserve"> </w:t>
      </w:r>
      <w:r w:rsidR="00905669" w:rsidRPr="003A55A1">
        <w:rPr>
          <w:rFonts w:ascii="Century Gothic" w:hAnsi="Century Gothic"/>
        </w:rPr>
        <w:t>de R.L. de C.V</w:t>
      </w:r>
    </w:p>
    <w:p w:rsidR="005C05B2" w:rsidRPr="003A55A1" w:rsidRDefault="005C05B2" w:rsidP="005C05B2">
      <w:pPr>
        <w:spacing w:after="0" w:line="240" w:lineRule="auto"/>
        <w:jc w:val="both"/>
        <w:rPr>
          <w:rFonts w:ascii="Century Gothic" w:hAnsi="Century Gothic"/>
        </w:rPr>
      </w:pPr>
      <w:r w:rsidRPr="003A55A1">
        <w:rPr>
          <w:rFonts w:ascii="Century Gothic" w:hAnsi="Century Gothic"/>
        </w:rPr>
        <w:t xml:space="preserve">En el mes de </w:t>
      </w:r>
      <w:r w:rsidR="00A31EF8" w:rsidRPr="003A55A1">
        <w:rPr>
          <w:rFonts w:ascii="Century Gothic" w:hAnsi="Century Gothic"/>
        </w:rPr>
        <w:t>abril</w:t>
      </w:r>
      <w:r w:rsidRPr="003A55A1">
        <w:rPr>
          <w:rFonts w:ascii="Century Gothic" w:hAnsi="Century Gothic"/>
        </w:rPr>
        <w:t xml:space="preserve"> de 2019 se pagó PROCESOS EN INGENIERIA DE SUELOS Y MATERIALES SA DE CV, serv</w:t>
      </w:r>
      <w:r w:rsidR="00752D23" w:rsidRPr="003A55A1">
        <w:rPr>
          <w:rFonts w:ascii="Century Gothic" w:hAnsi="Century Gothic"/>
        </w:rPr>
        <w:t>icio</w:t>
      </w:r>
      <w:r w:rsidRPr="003A55A1">
        <w:rPr>
          <w:rFonts w:ascii="Century Gothic" w:hAnsi="Century Gothic"/>
        </w:rPr>
        <w:t xml:space="preserve"> de diseño de pavimentaci</w:t>
      </w:r>
      <w:r w:rsidR="00752D23" w:rsidRPr="003A55A1">
        <w:rPr>
          <w:rFonts w:ascii="Century Gothic" w:hAnsi="Century Gothic"/>
        </w:rPr>
        <w:t>ó</w:t>
      </w:r>
      <w:r w:rsidRPr="003A55A1">
        <w:rPr>
          <w:rFonts w:ascii="Century Gothic" w:hAnsi="Century Gothic"/>
        </w:rPr>
        <w:t xml:space="preserve">n en </w:t>
      </w:r>
      <w:r w:rsidR="00752D23" w:rsidRPr="003A55A1">
        <w:rPr>
          <w:rFonts w:ascii="Century Gothic" w:hAnsi="Century Gothic"/>
        </w:rPr>
        <w:t>á</w:t>
      </w:r>
      <w:r w:rsidRPr="003A55A1">
        <w:rPr>
          <w:rFonts w:ascii="Century Gothic" w:hAnsi="Century Gothic"/>
        </w:rPr>
        <w:t>rea del estacionamiento nuevo del recinto ferial por la cantidad de 12,100.00 m</w:t>
      </w:r>
      <w:r w:rsidR="00752D23" w:rsidRPr="003A55A1">
        <w:rPr>
          <w:rFonts w:ascii="Century Gothic" w:hAnsi="Century Gothic"/>
        </w:rPr>
        <w:t>á</w:t>
      </w:r>
      <w:r w:rsidRPr="003A55A1">
        <w:rPr>
          <w:rFonts w:ascii="Century Gothic" w:hAnsi="Century Gothic"/>
        </w:rPr>
        <w:t>s IVA.</w:t>
      </w:r>
    </w:p>
    <w:p w:rsidR="005C05B2" w:rsidRPr="003A55A1" w:rsidRDefault="005C05B2" w:rsidP="005C05B2">
      <w:pPr>
        <w:jc w:val="both"/>
        <w:rPr>
          <w:rFonts w:ascii="Century Gothic" w:hAnsi="Century Gothic"/>
        </w:rPr>
      </w:pPr>
    </w:p>
    <w:p w:rsidR="005C05B2" w:rsidRPr="003A55A1" w:rsidRDefault="005C05B2" w:rsidP="005C05B2">
      <w:pPr>
        <w:spacing w:after="0" w:line="240" w:lineRule="auto"/>
        <w:jc w:val="both"/>
        <w:rPr>
          <w:rFonts w:ascii="Century Gothic" w:hAnsi="Century Gothic"/>
        </w:rPr>
      </w:pPr>
      <w:r w:rsidRPr="003A55A1">
        <w:rPr>
          <w:rFonts w:ascii="Century Gothic" w:hAnsi="Century Gothic"/>
        </w:rPr>
        <w:t>En el mes de Abril de 2019 se pagó  a PROYECTO, ARQUITECTURA, DISEÑO, INGENIERIA Y SUPERVISION S.A. DE C.V 1ra est. seguimiento y validaci</w:t>
      </w:r>
      <w:r w:rsidR="00752D23" w:rsidRPr="003A55A1">
        <w:rPr>
          <w:rFonts w:ascii="Century Gothic" w:hAnsi="Century Gothic"/>
        </w:rPr>
        <w:t>ó</w:t>
      </w:r>
      <w:r w:rsidRPr="003A55A1">
        <w:rPr>
          <w:rFonts w:ascii="Century Gothic" w:hAnsi="Century Gothic"/>
        </w:rPr>
        <w:t>n d/proy. eject. d/edif. bares/rest.</w:t>
      </w:r>
      <w:r w:rsidR="00A31EF8" w:rsidRPr="003A55A1">
        <w:rPr>
          <w:rFonts w:ascii="Century Gothic" w:hAnsi="Century Gothic"/>
        </w:rPr>
        <w:t xml:space="preserve"> </w:t>
      </w:r>
      <w:r w:rsidRPr="003A55A1">
        <w:rPr>
          <w:rFonts w:ascii="Century Gothic" w:hAnsi="Century Gothic"/>
        </w:rPr>
        <w:t>gerencia p/desar.</w:t>
      </w:r>
      <w:r w:rsidR="00A31EF8" w:rsidRPr="003A55A1">
        <w:rPr>
          <w:rFonts w:ascii="Century Gothic" w:hAnsi="Century Gothic"/>
        </w:rPr>
        <w:t xml:space="preserve"> </w:t>
      </w:r>
      <w:r w:rsidRPr="003A55A1">
        <w:rPr>
          <w:rFonts w:ascii="Century Gothic" w:hAnsi="Century Gothic"/>
        </w:rPr>
        <w:t>renovaci</w:t>
      </w:r>
      <w:r w:rsidR="00752D23" w:rsidRPr="003A55A1">
        <w:rPr>
          <w:rFonts w:ascii="Century Gothic" w:hAnsi="Century Gothic"/>
        </w:rPr>
        <w:t>ó</w:t>
      </w:r>
      <w:r w:rsidRPr="003A55A1">
        <w:rPr>
          <w:rFonts w:ascii="Century Gothic" w:hAnsi="Century Gothic"/>
        </w:rPr>
        <w:t>n por la cantidad de 38,399.79 m</w:t>
      </w:r>
      <w:r w:rsidR="00752D23" w:rsidRPr="003A55A1">
        <w:rPr>
          <w:rFonts w:ascii="Century Gothic" w:hAnsi="Century Gothic"/>
        </w:rPr>
        <w:t>á</w:t>
      </w:r>
      <w:r w:rsidRPr="003A55A1">
        <w:rPr>
          <w:rFonts w:ascii="Century Gothic" w:hAnsi="Century Gothic"/>
        </w:rPr>
        <w:t>s IVA.</w:t>
      </w:r>
    </w:p>
    <w:p w:rsidR="005C05B2" w:rsidRPr="003A55A1" w:rsidRDefault="005C05B2" w:rsidP="005C05B2">
      <w:pPr>
        <w:jc w:val="both"/>
        <w:rPr>
          <w:rFonts w:ascii="Century Gothic" w:hAnsi="Century Gothic"/>
        </w:rPr>
      </w:pPr>
    </w:p>
    <w:p w:rsidR="005C05B2" w:rsidRPr="003A55A1" w:rsidRDefault="005C05B2" w:rsidP="005C05B2">
      <w:pPr>
        <w:spacing w:after="0" w:line="240" w:lineRule="auto"/>
        <w:jc w:val="both"/>
        <w:rPr>
          <w:rFonts w:ascii="Century Gothic" w:hAnsi="Century Gothic"/>
        </w:rPr>
      </w:pPr>
      <w:r w:rsidRPr="003A55A1">
        <w:rPr>
          <w:rFonts w:ascii="Century Gothic" w:hAnsi="Century Gothic"/>
        </w:rPr>
        <w:t>En el mes de Abril de 2019 se pagó  a MUÑOZ MANRIQUEZ JUSTINO 1ra estimaci</w:t>
      </w:r>
      <w:r w:rsidR="00752D23" w:rsidRPr="003A55A1">
        <w:rPr>
          <w:rFonts w:ascii="Century Gothic" w:hAnsi="Century Gothic"/>
        </w:rPr>
        <w:t>ó</w:t>
      </w:r>
      <w:r w:rsidRPr="003A55A1">
        <w:rPr>
          <w:rFonts w:ascii="Century Gothic" w:hAnsi="Century Gothic"/>
        </w:rPr>
        <w:t xml:space="preserve">n finiquito manejo de arbolada p/las instalaciones de la feria </w:t>
      </w:r>
      <w:r w:rsidR="00752D23" w:rsidRPr="003A55A1">
        <w:rPr>
          <w:rFonts w:ascii="Century Gothic" w:hAnsi="Century Gothic"/>
        </w:rPr>
        <w:t>L</w:t>
      </w:r>
      <w:r w:rsidRPr="003A55A1">
        <w:rPr>
          <w:rFonts w:ascii="Century Gothic" w:hAnsi="Century Gothic"/>
        </w:rPr>
        <w:t>e</w:t>
      </w:r>
      <w:r w:rsidR="00752D23" w:rsidRPr="003A55A1">
        <w:rPr>
          <w:rFonts w:ascii="Century Gothic" w:hAnsi="Century Gothic"/>
        </w:rPr>
        <w:t>ó</w:t>
      </w:r>
      <w:r w:rsidRPr="003A55A1">
        <w:rPr>
          <w:rFonts w:ascii="Century Gothic" w:hAnsi="Century Gothic"/>
        </w:rPr>
        <w:t>n por la cantidad de 65,600.00 m</w:t>
      </w:r>
      <w:r w:rsidR="00752D23" w:rsidRPr="003A55A1">
        <w:rPr>
          <w:rFonts w:ascii="Century Gothic" w:hAnsi="Century Gothic"/>
        </w:rPr>
        <w:t>á</w:t>
      </w:r>
      <w:r w:rsidRPr="003A55A1">
        <w:rPr>
          <w:rFonts w:ascii="Century Gothic" w:hAnsi="Century Gothic"/>
        </w:rPr>
        <w:t>s IVA.</w:t>
      </w:r>
    </w:p>
    <w:p w:rsidR="005C05B2" w:rsidRPr="003A55A1" w:rsidRDefault="005C05B2" w:rsidP="005C05B2">
      <w:pPr>
        <w:jc w:val="both"/>
        <w:rPr>
          <w:rFonts w:ascii="Century Gothic" w:hAnsi="Century Gothic"/>
        </w:rPr>
      </w:pPr>
    </w:p>
    <w:p w:rsidR="005C05B2" w:rsidRPr="003A55A1" w:rsidRDefault="005C05B2" w:rsidP="005C05B2">
      <w:pPr>
        <w:spacing w:after="0" w:line="240" w:lineRule="auto"/>
        <w:jc w:val="both"/>
        <w:rPr>
          <w:rFonts w:ascii="Century Gothic" w:hAnsi="Century Gothic"/>
        </w:rPr>
      </w:pPr>
      <w:r w:rsidRPr="003A55A1">
        <w:rPr>
          <w:rFonts w:ascii="Century Gothic" w:hAnsi="Century Gothic"/>
        </w:rPr>
        <w:t>En el mes de Abril de 2019 se pagó  a CONSTRUCTORA MADACO S. DE R.L. DE C.V. 5ta estimaci</w:t>
      </w:r>
      <w:r w:rsidR="00752D23" w:rsidRPr="003A55A1">
        <w:rPr>
          <w:rFonts w:ascii="Century Gothic" w:hAnsi="Century Gothic"/>
        </w:rPr>
        <w:t>ó</w:t>
      </w:r>
      <w:r w:rsidRPr="003A55A1">
        <w:rPr>
          <w:rFonts w:ascii="Century Gothic" w:hAnsi="Century Gothic"/>
        </w:rPr>
        <w:t>n const. m</w:t>
      </w:r>
      <w:r w:rsidR="00752D23" w:rsidRPr="003A55A1">
        <w:rPr>
          <w:rFonts w:ascii="Century Gothic" w:hAnsi="Century Gothic"/>
        </w:rPr>
        <w:t>ó</w:t>
      </w:r>
      <w:r w:rsidRPr="003A55A1">
        <w:rPr>
          <w:rFonts w:ascii="Century Gothic" w:hAnsi="Century Gothic"/>
        </w:rPr>
        <w:t>dulo de sanitarios y esp. comercial en parque explora por la cantidad de 181,340.10, m</w:t>
      </w:r>
      <w:r w:rsidR="00752D23" w:rsidRPr="003A55A1">
        <w:rPr>
          <w:rFonts w:ascii="Century Gothic" w:hAnsi="Century Gothic"/>
        </w:rPr>
        <w:t>á</w:t>
      </w:r>
      <w:r w:rsidRPr="003A55A1">
        <w:rPr>
          <w:rFonts w:ascii="Century Gothic" w:hAnsi="Century Gothic"/>
        </w:rPr>
        <w:t>s IVA.</w:t>
      </w:r>
    </w:p>
    <w:p w:rsidR="005C05B2" w:rsidRPr="003A55A1" w:rsidRDefault="005C05B2" w:rsidP="005C05B2">
      <w:pPr>
        <w:jc w:val="both"/>
        <w:rPr>
          <w:rFonts w:ascii="Century Gothic" w:hAnsi="Century Gothic"/>
        </w:rPr>
      </w:pPr>
    </w:p>
    <w:p w:rsidR="005C05B2" w:rsidRPr="003A55A1" w:rsidRDefault="005C05B2" w:rsidP="005C05B2">
      <w:pPr>
        <w:spacing w:after="0" w:line="240" w:lineRule="auto"/>
        <w:jc w:val="both"/>
        <w:rPr>
          <w:rFonts w:ascii="Century Gothic" w:hAnsi="Century Gothic"/>
        </w:rPr>
      </w:pPr>
      <w:r w:rsidRPr="003A55A1">
        <w:rPr>
          <w:rFonts w:ascii="Century Gothic" w:hAnsi="Century Gothic"/>
        </w:rPr>
        <w:lastRenderedPageBreak/>
        <w:t>En el mes de Abril de 2019 se pagó  a DELGADO MEDEL JORGE desmontaje de reja y montaje de marcos, barandales p/trabajo de manejo d/arbolado en terreno por la cantidad de 5,100.00, m</w:t>
      </w:r>
      <w:r w:rsidR="00752D23" w:rsidRPr="003A55A1">
        <w:rPr>
          <w:rFonts w:ascii="Century Gothic" w:hAnsi="Century Gothic"/>
        </w:rPr>
        <w:t>á</w:t>
      </w:r>
      <w:r w:rsidRPr="003A55A1">
        <w:rPr>
          <w:rFonts w:ascii="Century Gothic" w:hAnsi="Century Gothic"/>
        </w:rPr>
        <w:t>s IVA.</w:t>
      </w:r>
    </w:p>
    <w:p w:rsidR="005C05B2" w:rsidRPr="003A55A1" w:rsidRDefault="005C05B2" w:rsidP="005C05B2">
      <w:pPr>
        <w:jc w:val="both"/>
        <w:rPr>
          <w:rFonts w:ascii="Century Gothic" w:hAnsi="Century Gothic"/>
        </w:rPr>
      </w:pPr>
    </w:p>
    <w:p w:rsidR="005C05B2" w:rsidRPr="003A55A1" w:rsidRDefault="005C05B2" w:rsidP="005C05B2">
      <w:pPr>
        <w:spacing w:after="0" w:line="240" w:lineRule="auto"/>
        <w:jc w:val="both"/>
        <w:rPr>
          <w:rFonts w:ascii="Century Gothic" w:hAnsi="Century Gothic"/>
        </w:rPr>
      </w:pPr>
      <w:r w:rsidRPr="003A55A1">
        <w:rPr>
          <w:rFonts w:ascii="Century Gothic" w:hAnsi="Century Gothic"/>
        </w:rPr>
        <w:t>En el mes de Abril de 2019 se pagó  a DELGADO VALENZUELA JAVIER RAUL 1ra estimaci</w:t>
      </w:r>
      <w:r w:rsidR="00752D23" w:rsidRPr="003A55A1">
        <w:rPr>
          <w:rFonts w:ascii="Century Gothic" w:hAnsi="Century Gothic"/>
        </w:rPr>
        <w:t>ó</w:t>
      </w:r>
      <w:r w:rsidRPr="003A55A1">
        <w:rPr>
          <w:rFonts w:ascii="Century Gothic" w:hAnsi="Century Gothic"/>
        </w:rPr>
        <w:t>n modificaci</w:t>
      </w:r>
      <w:r w:rsidR="00752D23" w:rsidRPr="003A55A1">
        <w:rPr>
          <w:rFonts w:ascii="Century Gothic" w:hAnsi="Century Gothic"/>
        </w:rPr>
        <w:t>ó</w:t>
      </w:r>
      <w:r w:rsidR="00A31EF8" w:rsidRPr="003A55A1">
        <w:rPr>
          <w:rFonts w:ascii="Century Gothic" w:hAnsi="Century Gothic"/>
        </w:rPr>
        <w:t xml:space="preserve">n de resolutivo 22-7624 </w:t>
      </w:r>
      <w:r w:rsidRPr="003A55A1">
        <w:rPr>
          <w:rFonts w:ascii="Century Gothic" w:hAnsi="Century Gothic"/>
        </w:rPr>
        <w:t xml:space="preserve"> por la cantidad de 9,020.00, m</w:t>
      </w:r>
      <w:r w:rsidR="00752D23" w:rsidRPr="003A55A1">
        <w:rPr>
          <w:rFonts w:ascii="Century Gothic" w:hAnsi="Century Gothic"/>
        </w:rPr>
        <w:t>á</w:t>
      </w:r>
      <w:r w:rsidRPr="003A55A1">
        <w:rPr>
          <w:rFonts w:ascii="Century Gothic" w:hAnsi="Century Gothic"/>
        </w:rPr>
        <w:t>s IVA.</w:t>
      </w:r>
    </w:p>
    <w:p w:rsidR="005C05B2" w:rsidRPr="003A55A1" w:rsidRDefault="005C05B2" w:rsidP="005C05B2">
      <w:pPr>
        <w:jc w:val="both"/>
        <w:rPr>
          <w:rFonts w:ascii="Century Gothic" w:hAnsi="Century Gothic"/>
        </w:rPr>
      </w:pPr>
    </w:p>
    <w:p w:rsidR="005C05B2" w:rsidRPr="003A55A1" w:rsidRDefault="005C05B2" w:rsidP="005C05B2">
      <w:pPr>
        <w:spacing w:after="0" w:line="240" w:lineRule="auto"/>
        <w:jc w:val="both"/>
        <w:rPr>
          <w:rFonts w:ascii="Century Gothic" w:hAnsi="Century Gothic"/>
        </w:rPr>
      </w:pPr>
      <w:r w:rsidRPr="003A55A1">
        <w:rPr>
          <w:rFonts w:ascii="Century Gothic" w:hAnsi="Century Gothic"/>
        </w:rPr>
        <w:t>En el mes de Abril de 2019 se pagó  a DELGADO VALENZUELA JAVIER RAUL 2da estimaci</w:t>
      </w:r>
      <w:r w:rsidR="00752D23" w:rsidRPr="003A55A1">
        <w:rPr>
          <w:rFonts w:ascii="Century Gothic" w:hAnsi="Century Gothic"/>
        </w:rPr>
        <w:t>ó</w:t>
      </w:r>
      <w:r w:rsidRPr="003A55A1">
        <w:rPr>
          <w:rFonts w:ascii="Century Gothic" w:hAnsi="Century Gothic"/>
        </w:rPr>
        <w:t>n finiquito modificaci</w:t>
      </w:r>
      <w:r w:rsidR="00752D23" w:rsidRPr="003A55A1">
        <w:rPr>
          <w:rFonts w:ascii="Century Gothic" w:hAnsi="Century Gothic"/>
        </w:rPr>
        <w:t>ó</w:t>
      </w:r>
      <w:r w:rsidRPr="003A55A1">
        <w:rPr>
          <w:rFonts w:ascii="Century Gothic" w:hAnsi="Century Gothic"/>
        </w:rPr>
        <w:t>n de resolutivo 22-7624 de mia por la cantidad de 2,020.00, m</w:t>
      </w:r>
      <w:r w:rsidR="00752D23" w:rsidRPr="003A55A1">
        <w:rPr>
          <w:rFonts w:ascii="Century Gothic" w:hAnsi="Century Gothic"/>
        </w:rPr>
        <w:t>á</w:t>
      </w:r>
      <w:r w:rsidRPr="003A55A1">
        <w:rPr>
          <w:rFonts w:ascii="Century Gothic" w:hAnsi="Century Gothic"/>
        </w:rPr>
        <w:t>s IVA.</w:t>
      </w:r>
    </w:p>
    <w:p w:rsidR="005C05B2" w:rsidRPr="003A55A1" w:rsidRDefault="005C05B2" w:rsidP="005C05B2">
      <w:pPr>
        <w:jc w:val="both"/>
        <w:rPr>
          <w:rFonts w:ascii="Century Gothic" w:hAnsi="Century Gothic"/>
        </w:rPr>
      </w:pPr>
    </w:p>
    <w:p w:rsidR="005C05B2" w:rsidRPr="003A55A1" w:rsidRDefault="005C05B2" w:rsidP="005C05B2">
      <w:pPr>
        <w:spacing w:after="0" w:line="240" w:lineRule="auto"/>
        <w:jc w:val="both"/>
        <w:rPr>
          <w:rFonts w:ascii="Century Gothic" w:hAnsi="Century Gothic"/>
        </w:rPr>
      </w:pPr>
      <w:r w:rsidRPr="003A55A1">
        <w:rPr>
          <w:rFonts w:ascii="Century Gothic" w:hAnsi="Century Gothic"/>
        </w:rPr>
        <w:t>En el mes de Abril de 2019 se pagó  a NUÑO MAC GREGOR Y DE BUEN ARQUITECTOS S.C. 4ta estim.</w:t>
      </w:r>
      <w:r w:rsidR="00EA06C2" w:rsidRPr="003A55A1">
        <w:rPr>
          <w:rFonts w:ascii="Century Gothic" w:hAnsi="Century Gothic"/>
        </w:rPr>
        <w:t xml:space="preserve"> </w:t>
      </w:r>
      <w:r w:rsidRPr="003A55A1">
        <w:rPr>
          <w:rFonts w:ascii="Century Gothic" w:hAnsi="Century Gothic"/>
        </w:rPr>
        <w:t>finiq.</w:t>
      </w:r>
      <w:r w:rsidR="00EA06C2" w:rsidRPr="003A55A1">
        <w:rPr>
          <w:rFonts w:ascii="Century Gothic" w:hAnsi="Century Gothic"/>
        </w:rPr>
        <w:t xml:space="preserve"> </w:t>
      </w:r>
      <w:r w:rsidRPr="003A55A1">
        <w:rPr>
          <w:rFonts w:ascii="Century Gothic" w:hAnsi="Century Gothic"/>
        </w:rPr>
        <w:t>proy.</w:t>
      </w:r>
      <w:r w:rsidR="00EA06C2" w:rsidRPr="003A55A1">
        <w:rPr>
          <w:rFonts w:ascii="Century Gothic" w:hAnsi="Century Gothic"/>
        </w:rPr>
        <w:t xml:space="preserve"> </w:t>
      </w:r>
      <w:r w:rsidRPr="003A55A1">
        <w:rPr>
          <w:rFonts w:ascii="Century Gothic" w:hAnsi="Century Gothic"/>
        </w:rPr>
        <w:t xml:space="preserve">construct .edif. de bares/rest. en inst.feria (se aplica </w:t>
      </w:r>
      <w:r w:rsidR="00EA06C2" w:rsidRPr="003A55A1">
        <w:rPr>
          <w:rFonts w:ascii="Century Gothic" w:hAnsi="Century Gothic"/>
        </w:rPr>
        <w:t>sanción</w:t>
      </w:r>
      <w:r w:rsidRPr="003A55A1">
        <w:rPr>
          <w:rFonts w:ascii="Century Gothic" w:hAnsi="Century Gothic"/>
        </w:rPr>
        <w:t xml:space="preserve">) por la cantidad de 145,000.00, </w:t>
      </w:r>
      <w:r w:rsidR="00EA06C2" w:rsidRPr="003A55A1">
        <w:rPr>
          <w:rFonts w:ascii="Century Gothic" w:hAnsi="Century Gothic"/>
        </w:rPr>
        <w:t>más</w:t>
      </w:r>
      <w:r w:rsidRPr="003A55A1">
        <w:rPr>
          <w:rFonts w:ascii="Century Gothic" w:hAnsi="Century Gothic"/>
        </w:rPr>
        <w:t xml:space="preserve"> IVA.</w:t>
      </w:r>
    </w:p>
    <w:p w:rsidR="005C05B2" w:rsidRPr="003A55A1" w:rsidRDefault="005C05B2" w:rsidP="005C05B2">
      <w:pPr>
        <w:jc w:val="both"/>
        <w:rPr>
          <w:rFonts w:ascii="Century Gothic" w:hAnsi="Century Gothic"/>
        </w:rPr>
      </w:pPr>
    </w:p>
    <w:p w:rsidR="005C05B2" w:rsidRPr="003A55A1" w:rsidRDefault="005C05B2" w:rsidP="005C05B2">
      <w:pPr>
        <w:spacing w:after="0" w:line="240" w:lineRule="auto"/>
        <w:jc w:val="both"/>
        <w:rPr>
          <w:rFonts w:ascii="Century Gothic" w:hAnsi="Century Gothic"/>
        </w:rPr>
      </w:pPr>
      <w:r w:rsidRPr="003A55A1">
        <w:rPr>
          <w:rFonts w:ascii="Century Gothic" w:hAnsi="Century Gothic"/>
        </w:rPr>
        <w:t>En el mes de Abril de 2019 se pagó  a IMATI PROYECTOS SA DE CV 4ta est.</w:t>
      </w:r>
      <w:r w:rsidR="00EA06C2" w:rsidRPr="003A55A1">
        <w:rPr>
          <w:rFonts w:ascii="Century Gothic" w:hAnsi="Century Gothic"/>
        </w:rPr>
        <w:t xml:space="preserve"> </w:t>
      </w:r>
      <w:r w:rsidRPr="003A55A1">
        <w:rPr>
          <w:rFonts w:ascii="Century Gothic" w:hAnsi="Century Gothic"/>
        </w:rPr>
        <w:t>finiq. proy.</w:t>
      </w:r>
      <w:r w:rsidR="00EA06C2" w:rsidRPr="003A55A1">
        <w:rPr>
          <w:rFonts w:ascii="Century Gothic" w:hAnsi="Century Gothic"/>
        </w:rPr>
        <w:t xml:space="preserve"> </w:t>
      </w:r>
      <w:r w:rsidRPr="003A55A1">
        <w:rPr>
          <w:rFonts w:ascii="Century Gothic" w:hAnsi="Century Gothic"/>
        </w:rPr>
        <w:t>de instal.</w:t>
      </w:r>
      <w:r w:rsidR="00EA06C2" w:rsidRPr="003A55A1">
        <w:rPr>
          <w:rFonts w:ascii="Century Gothic" w:hAnsi="Century Gothic"/>
        </w:rPr>
        <w:t xml:space="preserve"> </w:t>
      </w:r>
      <w:r w:rsidRPr="003A55A1">
        <w:rPr>
          <w:rFonts w:ascii="Century Gothic" w:hAnsi="Century Gothic"/>
        </w:rPr>
        <w:t>del estac. y edif. de bares/rest (se aplica sanci</w:t>
      </w:r>
      <w:r w:rsidR="00752D23" w:rsidRPr="003A55A1">
        <w:rPr>
          <w:rFonts w:ascii="Century Gothic" w:hAnsi="Century Gothic"/>
        </w:rPr>
        <w:t>ó</w:t>
      </w:r>
      <w:r w:rsidRPr="003A55A1">
        <w:rPr>
          <w:rFonts w:ascii="Century Gothic" w:hAnsi="Century Gothic"/>
        </w:rPr>
        <w:t>n) por la cantidad de 47,500.00, m</w:t>
      </w:r>
      <w:r w:rsidR="00752D23" w:rsidRPr="003A55A1">
        <w:rPr>
          <w:rFonts w:ascii="Century Gothic" w:hAnsi="Century Gothic"/>
        </w:rPr>
        <w:t>á</w:t>
      </w:r>
      <w:r w:rsidRPr="003A55A1">
        <w:rPr>
          <w:rFonts w:ascii="Century Gothic" w:hAnsi="Century Gothic"/>
        </w:rPr>
        <w:t>s IVA.</w:t>
      </w:r>
    </w:p>
    <w:p w:rsidR="005C05B2" w:rsidRPr="003A55A1" w:rsidRDefault="005C05B2" w:rsidP="005C05B2">
      <w:pPr>
        <w:jc w:val="both"/>
        <w:rPr>
          <w:rFonts w:ascii="Century Gothic" w:hAnsi="Century Gothic"/>
        </w:rPr>
      </w:pPr>
    </w:p>
    <w:p w:rsidR="005C05B2" w:rsidRPr="003A55A1" w:rsidRDefault="005C05B2" w:rsidP="005C05B2">
      <w:pPr>
        <w:spacing w:after="0" w:line="240" w:lineRule="auto"/>
        <w:jc w:val="both"/>
        <w:rPr>
          <w:rFonts w:ascii="Century Gothic" w:hAnsi="Century Gothic"/>
        </w:rPr>
      </w:pPr>
      <w:r w:rsidRPr="003A55A1">
        <w:rPr>
          <w:rFonts w:ascii="Century Gothic" w:hAnsi="Century Gothic"/>
        </w:rPr>
        <w:t xml:space="preserve">En el mes de Abril de 2019 se pagó  a CONSTRUCTORA MADACO S. DE R.L. DE C.V. 6ta </w:t>
      </w:r>
      <w:r w:rsidR="00EA06C2" w:rsidRPr="003A55A1">
        <w:rPr>
          <w:rFonts w:ascii="Century Gothic" w:hAnsi="Century Gothic"/>
        </w:rPr>
        <w:t>estimación</w:t>
      </w:r>
      <w:r w:rsidRPr="003A55A1">
        <w:rPr>
          <w:rFonts w:ascii="Century Gothic" w:hAnsi="Century Gothic"/>
        </w:rPr>
        <w:t xml:space="preserve"> const. </w:t>
      </w:r>
      <w:r w:rsidR="00EA06C2" w:rsidRPr="003A55A1">
        <w:rPr>
          <w:rFonts w:ascii="Century Gothic" w:hAnsi="Century Gothic"/>
        </w:rPr>
        <w:t>módulo</w:t>
      </w:r>
      <w:r w:rsidRPr="003A55A1">
        <w:rPr>
          <w:rFonts w:ascii="Century Gothic" w:hAnsi="Century Gothic"/>
        </w:rPr>
        <w:t xml:space="preserve"> de sanitarios y esp. </w:t>
      </w:r>
      <w:r w:rsidR="00EA06C2" w:rsidRPr="003A55A1">
        <w:rPr>
          <w:rFonts w:ascii="Century Gothic" w:hAnsi="Century Gothic"/>
        </w:rPr>
        <w:t>comercial</w:t>
      </w:r>
      <w:r w:rsidRPr="003A55A1">
        <w:rPr>
          <w:rFonts w:ascii="Century Gothic" w:hAnsi="Century Gothic"/>
        </w:rPr>
        <w:t xml:space="preserve"> en parque explora por la cantidad de 82,058.57, </w:t>
      </w:r>
      <w:r w:rsidR="00EA06C2" w:rsidRPr="003A55A1">
        <w:rPr>
          <w:rFonts w:ascii="Century Gothic" w:hAnsi="Century Gothic"/>
        </w:rPr>
        <w:t>más</w:t>
      </w:r>
      <w:r w:rsidRPr="003A55A1">
        <w:rPr>
          <w:rFonts w:ascii="Century Gothic" w:hAnsi="Century Gothic"/>
        </w:rPr>
        <w:t xml:space="preserve"> IVA.</w:t>
      </w:r>
    </w:p>
    <w:p w:rsidR="005C05B2" w:rsidRPr="003A55A1" w:rsidRDefault="005C05B2" w:rsidP="005C05B2">
      <w:pPr>
        <w:jc w:val="both"/>
        <w:rPr>
          <w:rFonts w:ascii="Century Gothic" w:hAnsi="Century Gothic"/>
        </w:rPr>
      </w:pPr>
    </w:p>
    <w:p w:rsidR="005C05B2" w:rsidRPr="003A55A1" w:rsidRDefault="005C05B2" w:rsidP="005C05B2">
      <w:pPr>
        <w:spacing w:after="0" w:line="240" w:lineRule="auto"/>
        <w:jc w:val="both"/>
        <w:rPr>
          <w:rFonts w:ascii="Century Gothic" w:hAnsi="Century Gothic"/>
        </w:rPr>
      </w:pPr>
      <w:r w:rsidRPr="003A55A1">
        <w:rPr>
          <w:rFonts w:ascii="Century Gothic" w:hAnsi="Century Gothic"/>
        </w:rPr>
        <w:t xml:space="preserve">En el mes de Abril de 2019 se </w:t>
      </w:r>
      <w:r w:rsidR="00EA06C2" w:rsidRPr="003A55A1">
        <w:rPr>
          <w:rFonts w:ascii="Century Gothic" w:hAnsi="Century Gothic"/>
        </w:rPr>
        <w:t>pagó</w:t>
      </w:r>
      <w:r w:rsidRPr="003A55A1">
        <w:rPr>
          <w:rFonts w:ascii="Century Gothic" w:hAnsi="Century Gothic"/>
        </w:rPr>
        <w:t xml:space="preserve"> a CONSTRUCTORA MADACO S. DE R.L. DE C.V. 7ma </w:t>
      </w:r>
      <w:r w:rsidR="00EA06C2" w:rsidRPr="003A55A1">
        <w:rPr>
          <w:rFonts w:ascii="Century Gothic" w:hAnsi="Century Gothic"/>
        </w:rPr>
        <w:t>estimación</w:t>
      </w:r>
      <w:r w:rsidRPr="003A55A1">
        <w:rPr>
          <w:rFonts w:ascii="Century Gothic" w:hAnsi="Century Gothic"/>
        </w:rPr>
        <w:t xml:space="preserve"> const. de sanitarios y esp. comercial en parque explora acceso san </w:t>
      </w:r>
      <w:r w:rsidR="00EA06C2" w:rsidRPr="003A55A1">
        <w:rPr>
          <w:rFonts w:ascii="Century Gothic" w:hAnsi="Century Gothic"/>
        </w:rPr>
        <w:t>Sebastián</w:t>
      </w:r>
      <w:r w:rsidRPr="003A55A1">
        <w:rPr>
          <w:rFonts w:ascii="Century Gothic" w:hAnsi="Century Gothic"/>
        </w:rPr>
        <w:t xml:space="preserve"> por la cantidad de 82,058.57, </w:t>
      </w:r>
      <w:r w:rsidR="00EA06C2" w:rsidRPr="003A55A1">
        <w:rPr>
          <w:rFonts w:ascii="Century Gothic" w:hAnsi="Century Gothic"/>
        </w:rPr>
        <w:t>más</w:t>
      </w:r>
      <w:r w:rsidRPr="003A55A1">
        <w:rPr>
          <w:rFonts w:ascii="Century Gothic" w:hAnsi="Century Gothic"/>
        </w:rPr>
        <w:t xml:space="preserve"> IVA.</w:t>
      </w:r>
    </w:p>
    <w:p w:rsidR="005C05B2" w:rsidRPr="003A55A1" w:rsidRDefault="005C05B2" w:rsidP="005C05B2">
      <w:pPr>
        <w:spacing w:after="0" w:line="240" w:lineRule="auto"/>
        <w:jc w:val="both"/>
        <w:rPr>
          <w:rFonts w:ascii="Century Gothic" w:hAnsi="Century Gothic"/>
        </w:rPr>
      </w:pPr>
    </w:p>
    <w:p w:rsidR="005C05B2" w:rsidRPr="003A55A1" w:rsidRDefault="005C05B2" w:rsidP="005C05B2">
      <w:pPr>
        <w:spacing w:after="0" w:line="240" w:lineRule="auto"/>
        <w:jc w:val="both"/>
        <w:rPr>
          <w:rFonts w:ascii="Century Gothic" w:hAnsi="Century Gothic"/>
        </w:rPr>
      </w:pPr>
      <w:r w:rsidRPr="003A55A1">
        <w:rPr>
          <w:rFonts w:ascii="Century Gothic" w:hAnsi="Century Gothic"/>
        </w:rPr>
        <w:t xml:space="preserve">En el mes de Abril de 2019 se devengo y quedo provisionada la  8va </w:t>
      </w:r>
      <w:r w:rsidR="00EA06C2" w:rsidRPr="003A55A1">
        <w:rPr>
          <w:rFonts w:ascii="Century Gothic" w:hAnsi="Century Gothic"/>
        </w:rPr>
        <w:t>estimación</w:t>
      </w:r>
      <w:r w:rsidRPr="003A55A1">
        <w:rPr>
          <w:rFonts w:ascii="Century Gothic" w:hAnsi="Century Gothic"/>
        </w:rPr>
        <w:t xml:space="preserve"> const. </w:t>
      </w:r>
      <w:r w:rsidR="00EA06C2" w:rsidRPr="003A55A1">
        <w:rPr>
          <w:rFonts w:ascii="Century Gothic" w:hAnsi="Century Gothic"/>
        </w:rPr>
        <w:t>módulo</w:t>
      </w:r>
      <w:r w:rsidRPr="003A55A1">
        <w:rPr>
          <w:rFonts w:ascii="Century Gothic" w:hAnsi="Century Gothic"/>
        </w:rPr>
        <w:t xml:space="preserve"> d/sanitarios y esp. comercial en parque explora por la cantidad de 78,017.04, </w:t>
      </w:r>
      <w:r w:rsidR="00EA06C2" w:rsidRPr="003A55A1">
        <w:rPr>
          <w:rFonts w:ascii="Century Gothic" w:hAnsi="Century Gothic"/>
        </w:rPr>
        <w:t>más</w:t>
      </w:r>
      <w:r w:rsidRPr="003A55A1">
        <w:rPr>
          <w:rFonts w:ascii="Century Gothic" w:hAnsi="Century Gothic"/>
        </w:rPr>
        <w:t xml:space="preserve"> IVA.</w:t>
      </w:r>
    </w:p>
    <w:p w:rsidR="00CE090F" w:rsidRPr="003A55A1" w:rsidRDefault="00CE090F" w:rsidP="005C05B2">
      <w:pPr>
        <w:spacing w:after="0" w:line="240" w:lineRule="auto"/>
        <w:jc w:val="both"/>
        <w:rPr>
          <w:rFonts w:ascii="Century Gothic" w:hAnsi="Century Gothic"/>
        </w:rPr>
      </w:pPr>
    </w:p>
    <w:p w:rsidR="00CE090F" w:rsidRPr="003A55A1" w:rsidRDefault="00CE090F" w:rsidP="00CE090F">
      <w:pPr>
        <w:jc w:val="both"/>
        <w:rPr>
          <w:rFonts w:ascii="Century Gothic" w:hAnsi="Century Gothic"/>
        </w:rPr>
      </w:pPr>
      <w:r w:rsidRPr="003A55A1">
        <w:rPr>
          <w:rFonts w:ascii="Century Gothic" w:hAnsi="Century Gothic"/>
        </w:rPr>
        <w:t>En el mes de abril de 2019 se registró en donación de Carnaval Internacional Atracciones Carlon, S.A. de C.V. dos motos para la subdirección de seguridad por la cantidad de $40,000.00, cada una, derivado de la propuesta de beneficios del contrato de arrendamiento de la zona sur para juegos mecánicos en el evento feria 2019.</w:t>
      </w:r>
    </w:p>
    <w:p w:rsidR="00CE090F" w:rsidRPr="003A55A1" w:rsidRDefault="00CE090F" w:rsidP="005C05B2">
      <w:pPr>
        <w:spacing w:after="0" w:line="240" w:lineRule="auto"/>
        <w:jc w:val="both"/>
        <w:rPr>
          <w:rFonts w:ascii="Century Gothic" w:hAnsi="Century Gothic"/>
        </w:rPr>
      </w:pPr>
    </w:p>
    <w:p w:rsidR="0068520D" w:rsidRPr="003A55A1" w:rsidRDefault="0068520D" w:rsidP="005C05B2">
      <w:pPr>
        <w:spacing w:after="0" w:line="240" w:lineRule="auto"/>
        <w:jc w:val="both"/>
        <w:rPr>
          <w:rFonts w:ascii="Century Gothic" w:hAnsi="Century Gothic"/>
        </w:rPr>
      </w:pPr>
    </w:p>
    <w:p w:rsidR="0068520D" w:rsidRPr="003A55A1" w:rsidRDefault="0068520D" w:rsidP="0068520D">
      <w:pPr>
        <w:spacing w:after="0" w:line="240" w:lineRule="auto"/>
        <w:jc w:val="both"/>
        <w:rPr>
          <w:rFonts w:ascii="Century Gothic" w:hAnsi="Century Gothic"/>
        </w:rPr>
      </w:pPr>
      <w:r w:rsidRPr="003A55A1">
        <w:rPr>
          <w:rFonts w:ascii="Century Gothic" w:hAnsi="Century Gothic"/>
        </w:rPr>
        <w:t>En el mes de Mayo de 2019 se adquirieron : 2 COMPUTADORA</w:t>
      </w:r>
      <w:r w:rsidR="00A31EF8" w:rsidRPr="003A55A1">
        <w:rPr>
          <w:rFonts w:ascii="Century Gothic" w:hAnsi="Century Gothic"/>
        </w:rPr>
        <w:t>S LAPTOP  para el á</w:t>
      </w:r>
      <w:r w:rsidRPr="003A55A1">
        <w:rPr>
          <w:rFonts w:ascii="Century Gothic" w:hAnsi="Century Gothic"/>
        </w:rPr>
        <w:t>rea de SOPO</w:t>
      </w:r>
      <w:r w:rsidR="00A31EF8" w:rsidRPr="003A55A1">
        <w:rPr>
          <w:rFonts w:ascii="Century Gothic" w:hAnsi="Century Gothic"/>
        </w:rPr>
        <w:t>RTE TE</w:t>
      </w:r>
      <w:r w:rsidRPr="003A55A1">
        <w:rPr>
          <w:rFonts w:ascii="Century Gothic" w:hAnsi="Century Gothic"/>
        </w:rPr>
        <w:t>CNICO  p</w:t>
      </w:r>
      <w:r w:rsidR="00A31EF8" w:rsidRPr="003A55A1">
        <w:rPr>
          <w:rFonts w:ascii="Century Gothic" w:hAnsi="Century Gothic"/>
        </w:rPr>
        <w:t>or la cantidad de $ 17,958.94 má</w:t>
      </w:r>
      <w:r w:rsidRPr="003A55A1">
        <w:rPr>
          <w:rFonts w:ascii="Century Gothic" w:hAnsi="Century Gothic"/>
        </w:rPr>
        <w:t>s IVA.</w:t>
      </w:r>
    </w:p>
    <w:p w:rsidR="0068520D" w:rsidRPr="003A55A1" w:rsidRDefault="0068520D" w:rsidP="0068520D">
      <w:pPr>
        <w:jc w:val="both"/>
        <w:rPr>
          <w:rFonts w:ascii="Century Gothic" w:hAnsi="Century Gothic"/>
        </w:rPr>
      </w:pPr>
    </w:p>
    <w:p w:rsidR="0068520D" w:rsidRPr="003A55A1" w:rsidRDefault="0068520D" w:rsidP="0068520D">
      <w:pPr>
        <w:spacing w:after="0" w:line="240" w:lineRule="auto"/>
        <w:jc w:val="both"/>
        <w:rPr>
          <w:rFonts w:ascii="Century Gothic" w:hAnsi="Century Gothic"/>
        </w:rPr>
      </w:pPr>
      <w:r w:rsidRPr="003A55A1">
        <w:rPr>
          <w:rFonts w:ascii="Century Gothic" w:hAnsi="Century Gothic"/>
        </w:rPr>
        <w:t xml:space="preserve">En el mes de Mayo de 2019 se pago PROYECTO, ARQUITECTURA, DISEÑO, INGENIERIA Y SUPERVISION S.A. DE C.V </w:t>
      </w:r>
      <w:r w:rsidR="00A31EF8" w:rsidRPr="003A55A1">
        <w:rPr>
          <w:rFonts w:ascii="Century Gothic" w:hAnsi="Century Gothic"/>
        </w:rPr>
        <w:t>2da est. seguimiento y validació</w:t>
      </w:r>
      <w:r w:rsidRPr="003A55A1">
        <w:rPr>
          <w:rFonts w:ascii="Century Gothic" w:hAnsi="Century Gothic"/>
        </w:rPr>
        <w:t xml:space="preserve">n de </w:t>
      </w:r>
      <w:r w:rsidRPr="003A55A1">
        <w:rPr>
          <w:rFonts w:ascii="Century Gothic" w:hAnsi="Century Gothic"/>
        </w:rPr>
        <w:lastRenderedPageBreak/>
        <w:t>proy. eject. de edif. bares/rest., gerencia p/desarr. por la cantidad de 53</w:t>
      </w:r>
      <w:r w:rsidR="00A31EF8" w:rsidRPr="003A55A1">
        <w:rPr>
          <w:rFonts w:ascii="Century Gothic" w:hAnsi="Century Gothic"/>
        </w:rPr>
        <w:t>,</w:t>
      </w:r>
      <w:r w:rsidRPr="003A55A1">
        <w:rPr>
          <w:rFonts w:ascii="Century Gothic" w:hAnsi="Century Gothic"/>
        </w:rPr>
        <w:t>838.63 mas IVA.</w:t>
      </w:r>
    </w:p>
    <w:p w:rsidR="0068520D" w:rsidRPr="003A55A1" w:rsidRDefault="0068520D" w:rsidP="0068520D">
      <w:pPr>
        <w:spacing w:after="0" w:line="240" w:lineRule="auto"/>
        <w:jc w:val="both"/>
        <w:rPr>
          <w:rFonts w:ascii="Century Gothic" w:hAnsi="Century Gothic"/>
        </w:rPr>
      </w:pPr>
    </w:p>
    <w:p w:rsidR="0068520D" w:rsidRPr="003A55A1" w:rsidRDefault="0068520D" w:rsidP="0068520D">
      <w:pPr>
        <w:spacing w:after="0" w:line="240" w:lineRule="auto"/>
        <w:jc w:val="both"/>
        <w:rPr>
          <w:rFonts w:ascii="Century Gothic" w:hAnsi="Century Gothic"/>
        </w:rPr>
      </w:pPr>
      <w:r w:rsidRPr="003A55A1">
        <w:rPr>
          <w:rFonts w:ascii="Century Gothic" w:hAnsi="Century Gothic"/>
        </w:rPr>
        <w:t>En el mes de Mayo de 2019 se pagó a CONSTRUCTORA MADACO S. DE R.L. DE C.V. 9na. estimación const. módulo de sanitarios y esp. comercial en parque explora por la cantidad de 105,238.33 más IVA.</w:t>
      </w:r>
    </w:p>
    <w:p w:rsidR="00EA06C2" w:rsidRPr="003A55A1" w:rsidRDefault="00EA06C2" w:rsidP="0068520D">
      <w:pPr>
        <w:spacing w:after="0" w:line="240" w:lineRule="auto"/>
        <w:jc w:val="both"/>
        <w:rPr>
          <w:rFonts w:ascii="Century Gothic" w:hAnsi="Century Gothic"/>
        </w:rPr>
      </w:pPr>
    </w:p>
    <w:p w:rsidR="0068520D" w:rsidRPr="003A55A1" w:rsidRDefault="0068520D" w:rsidP="0068520D">
      <w:pPr>
        <w:spacing w:after="0" w:line="240" w:lineRule="auto"/>
        <w:jc w:val="both"/>
        <w:rPr>
          <w:rFonts w:ascii="Arial" w:eastAsia="Times New Roman" w:hAnsi="Arial" w:cs="Arial"/>
          <w:color w:val="000000"/>
          <w:sz w:val="20"/>
          <w:szCs w:val="20"/>
          <w:lang w:val="es-MX" w:eastAsia="es-MX"/>
        </w:rPr>
      </w:pPr>
      <w:r w:rsidRPr="003A55A1">
        <w:rPr>
          <w:rFonts w:ascii="Century Gothic" w:hAnsi="Century Gothic"/>
        </w:rPr>
        <w:t>En el mes de Mayo de 2019 se pagó  ORG DE MEXICO SA DE CV trabajo d/excavación, relleno y compactación p/llevar a cabo modernización del recinto por la cantidad de 46,529.22 más IVA</w:t>
      </w:r>
      <w:r w:rsidRPr="003A55A1">
        <w:rPr>
          <w:rFonts w:ascii="Arial" w:eastAsia="Times New Roman" w:hAnsi="Arial" w:cs="Arial"/>
          <w:color w:val="000000"/>
          <w:sz w:val="20"/>
          <w:szCs w:val="20"/>
          <w:lang w:val="es-MX" w:eastAsia="es-MX"/>
        </w:rPr>
        <w:t>.</w:t>
      </w:r>
    </w:p>
    <w:p w:rsidR="0068520D" w:rsidRPr="003A55A1" w:rsidRDefault="0068520D" w:rsidP="0068520D">
      <w:pPr>
        <w:spacing w:after="0" w:line="240" w:lineRule="auto"/>
        <w:jc w:val="both"/>
        <w:rPr>
          <w:rFonts w:ascii="Century Gothic" w:hAnsi="Century Gothic"/>
        </w:rPr>
      </w:pPr>
    </w:p>
    <w:p w:rsidR="0068520D" w:rsidRPr="003A55A1" w:rsidRDefault="0068520D" w:rsidP="0068520D">
      <w:pPr>
        <w:spacing w:after="0" w:line="240" w:lineRule="auto"/>
        <w:jc w:val="both"/>
        <w:rPr>
          <w:rFonts w:ascii="Century Gothic" w:hAnsi="Century Gothic"/>
        </w:rPr>
      </w:pPr>
      <w:r w:rsidRPr="003A55A1">
        <w:rPr>
          <w:rFonts w:ascii="Century Gothic" w:hAnsi="Century Gothic"/>
        </w:rPr>
        <w:t>En el mes de Mayo de 2019 se pagó a VILLEGAS RIOS JOSE DE JESUS renta de gr</w:t>
      </w:r>
      <w:r w:rsidR="00752D23" w:rsidRPr="003A55A1">
        <w:rPr>
          <w:rFonts w:ascii="Century Gothic" w:hAnsi="Century Gothic"/>
        </w:rPr>
        <w:t>ú</w:t>
      </w:r>
      <w:r w:rsidRPr="003A55A1">
        <w:rPr>
          <w:rFonts w:ascii="Century Gothic" w:hAnsi="Century Gothic"/>
        </w:rPr>
        <w:t>a para llevar a cabo etapas de modernizaci</w:t>
      </w:r>
      <w:r w:rsidR="00752D23" w:rsidRPr="003A55A1">
        <w:rPr>
          <w:rFonts w:ascii="Century Gothic" w:hAnsi="Century Gothic"/>
        </w:rPr>
        <w:t>ó</w:t>
      </w:r>
      <w:r w:rsidRPr="003A55A1">
        <w:rPr>
          <w:rFonts w:ascii="Century Gothic" w:hAnsi="Century Gothic"/>
        </w:rPr>
        <w:t>n del recinto ferial por la cantidad de 15,660.00 más IVA.</w:t>
      </w:r>
    </w:p>
    <w:p w:rsidR="0068520D" w:rsidRPr="003A55A1" w:rsidRDefault="0068520D" w:rsidP="0068520D">
      <w:pPr>
        <w:spacing w:after="0" w:line="240" w:lineRule="auto"/>
        <w:jc w:val="both"/>
        <w:rPr>
          <w:rFonts w:ascii="Century Gothic" w:hAnsi="Century Gothic"/>
        </w:rPr>
      </w:pPr>
    </w:p>
    <w:p w:rsidR="0068520D" w:rsidRPr="003A55A1" w:rsidRDefault="0068520D" w:rsidP="0068520D">
      <w:pPr>
        <w:spacing w:after="0" w:line="240" w:lineRule="auto"/>
        <w:jc w:val="both"/>
        <w:rPr>
          <w:rFonts w:ascii="Century Gothic" w:hAnsi="Century Gothic"/>
        </w:rPr>
      </w:pPr>
      <w:r w:rsidRPr="003A55A1">
        <w:rPr>
          <w:rFonts w:ascii="Century Gothic" w:hAnsi="Century Gothic"/>
        </w:rPr>
        <w:t>En el mes de Mayo de 2019 se pagó a ADMINISTRADORA Y CONSULTORA LINKPLAY, S.A. DE C.V. serv. levantamiento arquitect</w:t>
      </w:r>
      <w:r w:rsidR="00752D23" w:rsidRPr="003A55A1">
        <w:rPr>
          <w:rFonts w:ascii="Century Gothic" w:hAnsi="Century Gothic"/>
        </w:rPr>
        <w:t>ó</w:t>
      </w:r>
      <w:r w:rsidRPr="003A55A1">
        <w:rPr>
          <w:rFonts w:ascii="Century Gothic" w:hAnsi="Century Gothic"/>
        </w:rPr>
        <w:t>nico p/llevar a cabo la integraci</w:t>
      </w:r>
      <w:r w:rsidR="00752D23" w:rsidRPr="003A55A1">
        <w:rPr>
          <w:rFonts w:ascii="Century Gothic" w:hAnsi="Century Gothic"/>
        </w:rPr>
        <w:t>ó</w:t>
      </w:r>
      <w:r w:rsidRPr="003A55A1">
        <w:rPr>
          <w:rFonts w:ascii="Century Gothic" w:hAnsi="Century Gothic"/>
        </w:rPr>
        <w:t>n del proyecto ejecutivo por la cantidad de 17,980 más IVA.</w:t>
      </w:r>
    </w:p>
    <w:p w:rsidR="0068520D" w:rsidRPr="003A55A1" w:rsidRDefault="0068520D" w:rsidP="0068520D">
      <w:pPr>
        <w:spacing w:after="0" w:line="240" w:lineRule="auto"/>
        <w:jc w:val="both"/>
        <w:rPr>
          <w:rFonts w:ascii="Century Gothic" w:hAnsi="Century Gothic"/>
        </w:rPr>
      </w:pPr>
    </w:p>
    <w:p w:rsidR="0068520D" w:rsidRPr="003A55A1" w:rsidRDefault="0068520D" w:rsidP="0068520D">
      <w:pPr>
        <w:spacing w:after="0" w:line="240" w:lineRule="auto"/>
        <w:jc w:val="both"/>
        <w:rPr>
          <w:rFonts w:ascii="Century Gothic" w:hAnsi="Century Gothic"/>
        </w:rPr>
      </w:pPr>
      <w:r w:rsidRPr="003A55A1">
        <w:rPr>
          <w:rFonts w:ascii="Century Gothic" w:hAnsi="Century Gothic"/>
        </w:rPr>
        <w:t>En el mes de Mayo de 2019 se pagó CONSTRUCTORA MADACO S. DE R.L. DE C.V. 10ma estimación finiq. const. módulo de sanitarios y esp. comercial en parque explora por la cantidad de 306,571.96 más IVA.</w:t>
      </w:r>
    </w:p>
    <w:p w:rsidR="0068520D" w:rsidRPr="003A55A1" w:rsidRDefault="0068520D" w:rsidP="0068520D">
      <w:pPr>
        <w:spacing w:after="0" w:line="240" w:lineRule="auto"/>
        <w:jc w:val="both"/>
        <w:rPr>
          <w:rFonts w:ascii="Century Gothic" w:hAnsi="Century Gothic"/>
        </w:rPr>
      </w:pPr>
    </w:p>
    <w:p w:rsidR="0068520D" w:rsidRPr="003A55A1" w:rsidRDefault="0068520D" w:rsidP="0068520D">
      <w:pPr>
        <w:spacing w:after="0" w:line="240" w:lineRule="auto"/>
        <w:jc w:val="both"/>
        <w:rPr>
          <w:rFonts w:ascii="Century Gothic" w:hAnsi="Century Gothic"/>
        </w:rPr>
      </w:pPr>
      <w:r w:rsidRPr="003A55A1">
        <w:rPr>
          <w:rFonts w:ascii="Century Gothic" w:hAnsi="Century Gothic"/>
        </w:rPr>
        <w:t>En el mes de Mayo de 2019 se pagó a DELGADO MEDEL JORGE trabajos necesarios p/etapas d/modernizaci</w:t>
      </w:r>
      <w:r w:rsidR="00752D23" w:rsidRPr="003A55A1">
        <w:rPr>
          <w:rFonts w:ascii="Century Gothic" w:hAnsi="Century Gothic"/>
        </w:rPr>
        <w:t>ó</w:t>
      </w:r>
      <w:r w:rsidRPr="003A55A1">
        <w:rPr>
          <w:rFonts w:ascii="Century Gothic" w:hAnsi="Century Gothic"/>
        </w:rPr>
        <w:t>n en recinto ferial y construcc modul sanit.parque por la cantidad de 6,264.00 m</w:t>
      </w:r>
      <w:r w:rsidR="00752D23" w:rsidRPr="003A55A1">
        <w:rPr>
          <w:rFonts w:ascii="Century Gothic" w:hAnsi="Century Gothic"/>
        </w:rPr>
        <w:t>á</w:t>
      </w:r>
      <w:r w:rsidRPr="003A55A1">
        <w:rPr>
          <w:rFonts w:ascii="Century Gothic" w:hAnsi="Century Gothic"/>
        </w:rPr>
        <w:t>s IVA.</w:t>
      </w:r>
    </w:p>
    <w:p w:rsidR="0068520D" w:rsidRPr="003A55A1" w:rsidRDefault="0068520D" w:rsidP="0068520D">
      <w:pPr>
        <w:jc w:val="both"/>
        <w:rPr>
          <w:rFonts w:ascii="Century Gothic" w:hAnsi="Century Gothic"/>
        </w:rPr>
      </w:pPr>
    </w:p>
    <w:p w:rsidR="0068520D" w:rsidRPr="003A55A1" w:rsidRDefault="0068520D" w:rsidP="0068520D">
      <w:pPr>
        <w:spacing w:after="0" w:line="240" w:lineRule="auto"/>
        <w:jc w:val="both"/>
        <w:rPr>
          <w:rFonts w:ascii="Century Gothic" w:hAnsi="Century Gothic"/>
        </w:rPr>
      </w:pPr>
      <w:r w:rsidRPr="003A55A1">
        <w:rPr>
          <w:rFonts w:ascii="Century Gothic" w:hAnsi="Century Gothic"/>
        </w:rPr>
        <w:t>En el mes de Mayo de 2019 se pagó a URBANIZACIONES Y CONSTRUCCIONES RODIE SA DE CV supervisión de la construcc. de un módulo de sanitario y espacio comercial en parque explora por la cantidad de 81,276.54 más IVA.</w:t>
      </w:r>
    </w:p>
    <w:p w:rsidR="0068520D" w:rsidRPr="003A55A1" w:rsidRDefault="0068520D" w:rsidP="005C05B2">
      <w:pPr>
        <w:spacing w:after="0" w:line="240" w:lineRule="auto"/>
        <w:jc w:val="both"/>
        <w:rPr>
          <w:rFonts w:ascii="Century Gothic" w:hAnsi="Century Gothic"/>
        </w:rPr>
      </w:pPr>
    </w:p>
    <w:p w:rsidR="00CE090F" w:rsidRPr="003A55A1" w:rsidRDefault="00CE090F" w:rsidP="00CE090F">
      <w:pPr>
        <w:spacing w:after="0" w:line="240" w:lineRule="auto"/>
        <w:jc w:val="both"/>
        <w:rPr>
          <w:rFonts w:ascii="Century Gothic" w:hAnsi="Century Gothic"/>
        </w:rPr>
      </w:pPr>
      <w:r w:rsidRPr="003A55A1">
        <w:rPr>
          <w:rFonts w:ascii="Century Gothic" w:hAnsi="Century Gothic"/>
        </w:rPr>
        <w:t>En el mes de Junio de 2019 se pagó a SUPERVISION Y DISEÑO, S.A. DE C.V. el proyecto ejecutivo construcción salón de formación y convivencia en parque explora por la cantidad de $ 97,056.54 más IVA.</w:t>
      </w:r>
    </w:p>
    <w:p w:rsidR="00CE090F" w:rsidRPr="003A55A1" w:rsidRDefault="00CE090F" w:rsidP="00CE090F">
      <w:pPr>
        <w:spacing w:after="0" w:line="240" w:lineRule="auto"/>
        <w:jc w:val="both"/>
        <w:rPr>
          <w:rFonts w:ascii="Century Gothic" w:hAnsi="Century Gothic"/>
        </w:rPr>
      </w:pPr>
    </w:p>
    <w:p w:rsidR="00CE090F" w:rsidRPr="003A55A1" w:rsidRDefault="00CE090F" w:rsidP="00CE090F">
      <w:pPr>
        <w:spacing w:after="0" w:line="240" w:lineRule="auto"/>
        <w:jc w:val="both"/>
        <w:rPr>
          <w:rFonts w:ascii="Century Gothic" w:hAnsi="Century Gothic"/>
        </w:rPr>
      </w:pPr>
      <w:r w:rsidRPr="003A55A1">
        <w:rPr>
          <w:rFonts w:ascii="Century Gothic" w:hAnsi="Century Gothic"/>
        </w:rPr>
        <w:t>En el mes de Junio de 2019 se pagó a PROYECTO, ARQUITECTURA, DISEÑO, INGENIERIA Y SUPERVISION S.A. DE C.V la 3ra est. Seguimiento y validación de proyecto  ejecutivo de edificio de bares y restaurantes, gerencia para desarrollar plan de renovación y demolición en las instalaciones por la cantidad de $ 16,025.64 más IVA.</w:t>
      </w:r>
    </w:p>
    <w:p w:rsidR="00CE090F" w:rsidRPr="003A55A1" w:rsidRDefault="00CE090F" w:rsidP="00CE090F">
      <w:pPr>
        <w:spacing w:after="0" w:line="240" w:lineRule="auto"/>
        <w:jc w:val="both"/>
        <w:rPr>
          <w:rFonts w:ascii="Century Gothic" w:hAnsi="Century Gothic"/>
        </w:rPr>
      </w:pPr>
    </w:p>
    <w:p w:rsidR="00CE090F" w:rsidRPr="003A55A1" w:rsidRDefault="00CE090F" w:rsidP="00CE090F">
      <w:pPr>
        <w:spacing w:after="0" w:line="240" w:lineRule="auto"/>
        <w:jc w:val="both"/>
        <w:rPr>
          <w:rFonts w:ascii="Century Gothic" w:hAnsi="Century Gothic"/>
        </w:rPr>
      </w:pPr>
      <w:r w:rsidRPr="003A55A1">
        <w:rPr>
          <w:rFonts w:ascii="Century Gothic" w:hAnsi="Century Gothic"/>
        </w:rPr>
        <w:t>En el mes de Junio de 2019 se pagó a PROYECTO, ARQUITECTURA, DISEÑO, INGENIERIA Y SUPERVISION S.A. DE C.V 4ta est. seguimiento y validación de proyecto  ejecutivo de edificio de bares y restaurantes, gerencia para desarrollar plan de renovación y demolición en las instalaciones por la cantidad de $ 14,361.33 más IVA.</w:t>
      </w:r>
    </w:p>
    <w:p w:rsidR="00CE090F" w:rsidRPr="003A55A1" w:rsidRDefault="00CE090F" w:rsidP="00CE090F">
      <w:pPr>
        <w:spacing w:after="0" w:line="240" w:lineRule="auto"/>
        <w:jc w:val="both"/>
        <w:rPr>
          <w:rFonts w:ascii="Century Gothic" w:hAnsi="Century Gothic"/>
        </w:rPr>
      </w:pPr>
    </w:p>
    <w:p w:rsidR="00CE090F" w:rsidRPr="003A55A1" w:rsidRDefault="00CE090F" w:rsidP="00CE090F">
      <w:pPr>
        <w:spacing w:after="0" w:line="240" w:lineRule="auto"/>
        <w:jc w:val="both"/>
        <w:rPr>
          <w:rFonts w:ascii="Century Gothic" w:hAnsi="Century Gothic"/>
        </w:rPr>
      </w:pPr>
      <w:r w:rsidRPr="003A55A1">
        <w:rPr>
          <w:rFonts w:ascii="Century Gothic" w:hAnsi="Century Gothic"/>
        </w:rPr>
        <w:t>En el mes de Junio de 2019 se pagó a NUÑO MAC GREGOR Y DE BUEN ARQUITECTOS S.C. 1ra estimación del plan maestro del espacio vinculatorio de la cabecera norte instalaciones de la feria por la cantidad de $ 448,500.00 más IVA.</w:t>
      </w:r>
    </w:p>
    <w:p w:rsidR="00CE090F" w:rsidRPr="003A55A1" w:rsidRDefault="00CE090F" w:rsidP="00CE090F">
      <w:pPr>
        <w:spacing w:after="0" w:line="240" w:lineRule="auto"/>
        <w:jc w:val="both"/>
        <w:rPr>
          <w:rFonts w:ascii="Century Gothic" w:hAnsi="Century Gothic"/>
        </w:rPr>
      </w:pPr>
    </w:p>
    <w:p w:rsidR="00CE090F" w:rsidRPr="003A55A1" w:rsidRDefault="00CE090F" w:rsidP="00CE090F">
      <w:pPr>
        <w:spacing w:after="0" w:line="240" w:lineRule="auto"/>
        <w:jc w:val="both"/>
        <w:rPr>
          <w:rFonts w:ascii="Century Gothic" w:hAnsi="Century Gothic"/>
        </w:rPr>
      </w:pPr>
      <w:r w:rsidRPr="003A55A1">
        <w:rPr>
          <w:rFonts w:ascii="Century Gothic" w:hAnsi="Century Gothic"/>
        </w:rPr>
        <w:t>En el mes de Junio de 2019 se pagó a NUÑO MAC GREGOR Y DE BUEN ARQUITECTOS S.C. la 2da.  estimación del plan maestro del espacio vinculatorio de la cabecera norte inst. Feria por la cantidad de $ 103,500.00 más IVA.</w:t>
      </w:r>
    </w:p>
    <w:p w:rsidR="00CE090F" w:rsidRPr="003A55A1" w:rsidRDefault="00CE090F" w:rsidP="00CE090F">
      <w:pPr>
        <w:spacing w:after="0" w:line="240" w:lineRule="auto"/>
        <w:jc w:val="both"/>
        <w:rPr>
          <w:rFonts w:ascii="Century Gothic" w:hAnsi="Century Gothic"/>
        </w:rPr>
      </w:pPr>
    </w:p>
    <w:p w:rsidR="00CE090F" w:rsidRPr="003A55A1" w:rsidRDefault="00CE090F" w:rsidP="00CE090F">
      <w:pPr>
        <w:spacing w:after="0" w:line="240" w:lineRule="auto"/>
        <w:jc w:val="both"/>
        <w:rPr>
          <w:rFonts w:ascii="Century Gothic" w:hAnsi="Century Gothic"/>
        </w:rPr>
      </w:pPr>
      <w:r w:rsidRPr="003A55A1">
        <w:rPr>
          <w:rFonts w:ascii="Century Gothic" w:hAnsi="Century Gothic"/>
        </w:rPr>
        <w:t>En el mes de Junio de 2019 se pagó a NUÑO MAC GREGOR Y DE BUEN ARQUITECTOS S.C. la 3ra. estimación del plan maestro del espacio vinculatorio de la cabecera norte inst. Feria por la cantidad de $ 345,000.00 más IVA.</w:t>
      </w:r>
    </w:p>
    <w:p w:rsidR="00CE090F" w:rsidRPr="003A55A1" w:rsidRDefault="00CE090F" w:rsidP="00CE090F">
      <w:pPr>
        <w:spacing w:after="0" w:line="240" w:lineRule="auto"/>
        <w:jc w:val="both"/>
        <w:rPr>
          <w:rFonts w:ascii="Century Gothic" w:hAnsi="Century Gothic"/>
        </w:rPr>
      </w:pPr>
    </w:p>
    <w:p w:rsidR="00CE090F" w:rsidRPr="003A55A1" w:rsidRDefault="00CE090F" w:rsidP="00CE090F">
      <w:pPr>
        <w:spacing w:after="0" w:line="240" w:lineRule="auto"/>
        <w:jc w:val="both"/>
        <w:rPr>
          <w:rFonts w:ascii="Century Gothic" w:hAnsi="Century Gothic"/>
        </w:rPr>
      </w:pPr>
      <w:r w:rsidRPr="003A55A1">
        <w:rPr>
          <w:rFonts w:ascii="Century Gothic" w:hAnsi="Century Gothic"/>
        </w:rPr>
        <w:t>En el mes de Junio de 2019 Se reclasificó la cantidad de $ 40,111.40 más IVA de ORG DE MEXICO SA DE CV, por concepto de trabajo de excavación, relleno y compactación necesario p/llevar a cabo modernización, de la partida 12362-6221-2140-15001-002 Edificación no Habitacional en Proceso a la partida 12362-3513-2140-15001-002 Adaptación de inmuebles, siendo esta la correcta.</w:t>
      </w:r>
    </w:p>
    <w:p w:rsidR="00CE090F" w:rsidRPr="003A55A1" w:rsidRDefault="00CE090F" w:rsidP="00CE090F">
      <w:pPr>
        <w:spacing w:after="0" w:line="240" w:lineRule="auto"/>
        <w:jc w:val="both"/>
        <w:rPr>
          <w:rFonts w:ascii="Century Gothic" w:hAnsi="Century Gothic"/>
        </w:rPr>
      </w:pPr>
    </w:p>
    <w:p w:rsidR="00CE090F" w:rsidRPr="003A55A1" w:rsidRDefault="00CE090F" w:rsidP="00CE090F">
      <w:pPr>
        <w:spacing w:after="0" w:line="240" w:lineRule="auto"/>
        <w:jc w:val="both"/>
        <w:rPr>
          <w:rFonts w:ascii="Century Gothic" w:hAnsi="Century Gothic"/>
        </w:rPr>
      </w:pPr>
      <w:r w:rsidRPr="003A55A1">
        <w:rPr>
          <w:rFonts w:ascii="Century Gothic" w:hAnsi="Century Gothic"/>
        </w:rPr>
        <w:t>En el mes de Junio de 2019 Se reclasific</w:t>
      </w:r>
      <w:r w:rsidR="00752D23" w:rsidRPr="003A55A1">
        <w:rPr>
          <w:rFonts w:ascii="Century Gothic" w:hAnsi="Century Gothic"/>
        </w:rPr>
        <w:t>ó</w:t>
      </w:r>
      <w:r w:rsidRPr="003A55A1">
        <w:rPr>
          <w:rFonts w:ascii="Century Gothic" w:hAnsi="Century Gothic"/>
        </w:rPr>
        <w:t xml:space="preserve"> la cantidad $ 24,256.26 más IVA de ORG DE MEXICO SA DE CV por concepto de demolición de loza p/liberar espacio de trabajo de las constructoras que están ejecutando la obra de modernización de las instalaciones, de la partida 12362-6221-2140-15001-002 Edificación no Habitacional en Proceso, a la partida 12362-3513-2140-15001-002 Adaptación de inmuebles, siendo esta la correcta.</w:t>
      </w:r>
    </w:p>
    <w:p w:rsidR="00CE090F" w:rsidRPr="003A55A1" w:rsidRDefault="00CE090F" w:rsidP="00CE090F">
      <w:pPr>
        <w:spacing w:after="0" w:line="240" w:lineRule="auto"/>
        <w:jc w:val="both"/>
        <w:rPr>
          <w:rFonts w:ascii="Century Gothic" w:hAnsi="Century Gothic"/>
        </w:rPr>
      </w:pPr>
    </w:p>
    <w:p w:rsidR="00CE090F" w:rsidRPr="003A55A1" w:rsidRDefault="00CE090F" w:rsidP="00CE090F">
      <w:pPr>
        <w:spacing w:after="0" w:line="240" w:lineRule="auto"/>
        <w:jc w:val="both"/>
        <w:rPr>
          <w:rFonts w:ascii="Century Gothic" w:hAnsi="Century Gothic"/>
        </w:rPr>
      </w:pPr>
      <w:r w:rsidRPr="003A55A1">
        <w:rPr>
          <w:rFonts w:ascii="Century Gothic" w:hAnsi="Century Gothic"/>
        </w:rPr>
        <w:t>En el mes de Junio de 2019 Se reclasificó la cantidad de $ 15,500.00 más IVA de  ADMINISTRADORA Y CONSULTORA LINKPLAY, S.A. DE C.V., por concepto de serv. De levantamiento arquitectónico p/llevar a cabo la integración del proyecto ejecutivo, de la partida 12362-6221-2140-15001-002 Edificación no Habitacional en Proceso a la partida  12362-3391-2140-15001-002 Servicios profesionales, científicos y técnicos integrales, siendo esta la correcta.</w:t>
      </w:r>
    </w:p>
    <w:p w:rsidR="00CE090F" w:rsidRPr="003A55A1" w:rsidRDefault="00CE090F" w:rsidP="00CE090F">
      <w:pPr>
        <w:spacing w:after="0" w:line="240" w:lineRule="auto"/>
        <w:jc w:val="both"/>
        <w:rPr>
          <w:rFonts w:ascii="Century Gothic" w:hAnsi="Century Gothic"/>
        </w:rPr>
      </w:pPr>
    </w:p>
    <w:p w:rsidR="00CE090F" w:rsidRPr="003A55A1" w:rsidRDefault="00CE090F" w:rsidP="00CE090F">
      <w:pPr>
        <w:spacing w:after="0" w:line="240" w:lineRule="auto"/>
        <w:jc w:val="both"/>
        <w:rPr>
          <w:rFonts w:ascii="Century Gothic" w:hAnsi="Century Gothic"/>
        </w:rPr>
      </w:pPr>
      <w:r w:rsidRPr="003A55A1">
        <w:rPr>
          <w:rFonts w:ascii="Century Gothic" w:hAnsi="Century Gothic"/>
        </w:rPr>
        <w:t xml:space="preserve">En el mes de Junio de 2019 Se reclasificó la cantidad de $ 13,500.00 más IVA, de VILLEGAS RIOS JOSE DE JESUS por concepto de renta de grúa para llevar a cabo etapas de modernización del recinto ferial, de la partida 12362-6221-2140-15001-002 Edificación no Habitacional en Proceso a la partida 12362-3261-2140-15001-002 Arrendamiento de maquinaria y equipo, siendo esta la correcta. </w:t>
      </w:r>
    </w:p>
    <w:p w:rsidR="00CE090F" w:rsidRPr="003A55A1" w:rsidRDefault="00CE090F" w:rsidP="00CE090F">
      <w:pPr>
        <w:spacing w:after="0" w:line="240" w:lineRule="auto"/>
        <w:jc w:val="both"/>
        <w:rPr>
          <w:rFonts w:ascii="Century Gothic" w:hAnsi="Century Gothic"/>
        </w:rPr>
      </w:pPr>
    </w:p>
    <w:p w:rsidR="00CE090F" w:rsidRPr="003A55A1" w:rsidRDefault="00CE090F" w:rsidP="00CE090F">
      <w:pPr>
        <w:spacing w:after="0" w:line="240" w:lineRule="auto"/>
        <w:jc w:val="both"/>
        <w:rPr>
          <w:rFonts w:ascii="Century Gothic" w:hAnsi="Century Gothic"/>
        </w:rPr>
      </w:pPr>
      <w:r w:rsidRPr="003A55A1">
        <w:rPr>
          <w:rFonts w:ascii="Century Gothic" w:hAnsi="Century Gothic"/>
        </w:rPr>
        <w:t xml:space="preserve">En el mes de Junio de 2019 Se reclasificó la cantidad de $ 12,100.00 más IVA, de PROCESOS EN INGENIERIA DE SUELOS Y MATERIALES SA  por concepto de servicio de diseño de pavimentación en el área del estacionamiento nuevo del recinto, de la partida 12362-6221-2140-15001-002 Edificación no Habitacional en Proceso,  a la partida 12362-3391-2140-15001-002 Servicios profesionales, científicos y técnicos integrales, siendo esta la correcta. </w:t>
      </w:r>
    </w:p>
    <w:p w:rsidR="00CE090F" w:rsidRPr="003A55A1" w:rsidRDefault="00CE090F" w:rsidP="00CE090F">
      <w:pPr>
        <w:spacing w:after="0" w:line="240" w:lineRule="auto"/>
        <w:jc w:val="both"/>
        <w:rPr>
          <w:rFonts w:ascii="Century Gothic" w:hAnsi="Century Gothic"/>
        </w:rPr>
      </w:pPr>
    </w:p>
    <w:p w:rsidR="00CE090F" w:rsidRPr="003A55A1" w:rsidRDefault="00CE090F" w:rsidP="00CE090F">
      <w:pPr>
        <w:spacing w:after="0" w:line="240" w:lineRule="auto"/>
        <w:jc w:val="both"/>
        <w:rPr>
          <w:rFonts w:ascii="Century Gothic" w:hAnsi="Century Gothic"/>
        </w:rPr>
      </w:pPr>
      <w:r w:rsidRPr="003A55A1">
        <w:rPr>
          <w:rFonts w:ascii="Century Gothic" w:hAnsi="Century Gothic"/>
        </w:rPr>
        <w:t>En el mes de Junio de 2019 Se reclasificó la cantidad de $ 12,000.00 más IVA, de OSIO GRASSO LUIS OSCAR por concepto de gestoría y trámite de construcción de modulo sanitario salida calle san Sebastián, de la partida 12362-6221-2140-15001-002 Edificación no Habitacional en Proceso, a la partida 12362-3391-2140-15001-002 Servicios profesionales, científicos y técnicos integrales, siendo esta la correcta.</w:t>
      </w:r>
    </w:p>
    <w:p w:rsidR="00CE090F" w:rsidRPr="003A55A1" w:rsidRDefault="00CE090F" w:rsidP="00CE090F">
      <w:pPr>
        <w:spacing w:after="0" w:line="240" w:lineRule="auto"/>
        <w:jc w:val="both"/>
        <w:rPr>
          <w:rFonts w:ascii="Century Gothic" w:hAnsi="Century Gothic"/>
        </w:rPr>
      </w:pPr>
    </w:p>
    <w:p w:rsidR="00CE090F" w:rsidRPr="003A55A1" w:rsidRDefault="00CE090F" w:rsidP="00CE090F">
      <w:pPr>
        <w:spacing w:after="0" w:line="240" w:lineRule="auto"/>
        <w:jc w:val="both"/>
        <w:rPr>
          <w:rFonts w:ascii="Century Gothic" w:hAnsi="Century Gothic"/>
        </w:rPr>
      </w:pPr>
      <w:r w:rsidRPr="003A55A1">
        <w:rPr>
          <w:rFonts w:ascii="Century Gothic" w:hAnsi="Century Gothic"/>
        </w:rPr>
        <w:lastRenderedPageBreak/>
        <w:t>En el mes de Junio de 2019 Se reclasificó la cantidad de $ 6,150.00 más IVA de DELGADO MEDEL JORGE, por concepto de desmantelamiento de estructucturas p/liberar espacio en trabajos de obra del estacionamiento, de la partida 12362-6221-2140-15001-002 Edificación no Habitacional en Proceso, a la partida 12362-3513-2140-15001-002 adaptación de inmuebles, siendo esta la correcta.</w:t>
      </w:r>
    </w:p>
    <w:p w:rsidR="00CE090F" w:rsidRPr="003A55A1" w:rsidRDefault="00CE090F" w:rsidP="00CE090F">
      <w:pPr>
        <w:spacing w:after="0" w:line="240" w:lineRule="auto"/>
        <w:jc w:val="both"/>
        <w:rPr>
          <w:rFonts w:ascii="Century Gothic" w:hAnsi="Century Gothic"/>
        </w:rPr>
      </w:pPr>
    </w:p>
    <w:p w:rsidR="00CE090F" w:rsidRPr="003A55A1" w:rsidRDefault="00CE090F" w:rsidP="00CE090F">
      <w:pPr>
        <w:spacing w:after="0" w:line="240" w:lineRule="auto"/>
        <w:jc w:val="both"/>
        <w:rPr>
          <w:rFonts w:ascii="Century Gothic" w:hAnsi="Century Gothic"/>
        </w:rPr>
      </w:pPr>
      <w:r w:rsidRPr="003A55A1">
        <w:rPr>
          <w:rFonts w:ascii="Century Gothic" w:hAnsi="Century Gothic"/>
        </w:rPr>
        <w:t xml:space="preserve">En el mes de Junio de 2019 Se reclasificó la cantidad de $ 5,400.00 más IVA, DELGADO MEDEL JORGE por concepto de trabajos necesarios p/etapas de modernización en recinto ferial y construcción, de la partida 12362-6221-2140-15001-002 Edificación no Habitacional en Proceso, a la partida 12362-3513-2140-15001-002 adaptación de inmuebles, siendo esta la correcta. </w:t>
      </w:r>
    </w:p>
    <w:p w:rsidR="00CE090F" w:rsidRPr="003A55A1" w:rsidRDefault="00CE090F" w:rsidP="00CE090F">
      <w:pPr>
        <w:spacing w:after="0" w:line="240" w:lineRule="auto"/>
        <w:jc w:val="both"/>
        <w:rPr>
          <w:rFonts w:ascii="Century Gothic" w:hAnsi="Century Gothic"/>
        </w:rPr>
      </w:pPr>
    </w:p>
    <w:p w:rsidR="00CE090F" w:rsidRPr="003A55A1" w:rsidRDefault="00CE090F" w:rsidP="00CE090F">
      <w:pPr>
        <w:spacing w:after="0" w:line="240" w:lineRule="auto"/>
        <w:jc w:val="both"/>
        <w:rPr>
          <w:rFonts w:ascii="Century Gothic" w:hAnsi="Century Gothic"/>
        </w:rPr>
      </w:pPr>
      <w:r w:rsidRPr="003A55A1">
        <w:rPr>
          <w:rFonts w:ascii="Century Gothic" w:hAnsi="Century Gothic"/>
        </w:rPr>
        <w:t>En el mes de Junio de 2019 Se reclasificó la cantidad de $ 5,100.00 más IVA, de DELGADO MEDEL JORGE por concepto de  desmontaje de reja y montaje de marcos y barandales p/trabajo de manejo de arbolado en terrenos, de la partida 12362-6221-2140-15001-002 Edificación no Habitacional en Proceso, a la partida 12362-3513-2140-15001-002 adaptación de inmuebles, siendo esta la correcta.</w:t>
      </w:r>
    </w:p>
    <w:p w:rsidR="00CE090F" w:rsidRPr="003A55A1" w:rsidRDefault="00CE090F" w:rsidP="00CE090F">
      <w:pPr>
        <w:spacing w:after="0" w:line="240" w:lineRule="auto"/>
        <w:jc w:val="both"/>
        <w:rPr>
          <w:rFonts w:ascii="Century Gothic" w:hAnsi="Century Gothic"/>
        </w:rPr>
      </w:pPr>
    </w:p>
    <w:p w:rsidR="00CE090F" w:rsidRPr="003A55A1" w:rsidRDefault="00CE090F" w:rsidP="00CE090F">
      <w:pPr>
        <w:spacing w:after="0" w:line="240" w:lineRule="auto"/>
        <w:jc w:val="both"/>
        <w:rPr>
          <w:rFonts w:ascii="Century Gothic" w:hAnsi="Century Gothic"/>
        </w:rPr>
      </w:pPr>
      <w:r w:rsidRPr="003A55A1">
        <w:rPr>
          <w:rFonts w:ascii="Century Gothic" w:hAnsi="Century Gothic"/>
        </w:rPr>
        <w:t>En el mes de Junio de 2019 Se reclasificó la cantidad de $ 2,795.11 más IVA, de  TORRES GARCIA ANTONIO por concepto de reemb. Por trámite de licencia de uso de suelo y venta de formas, de la partida 12362-6221-2140-15001-002 Edificación no Habitacional en Proceso, a la partida 12362-3921-2140-15001-002 Otros impuestos y derechos, siendo esta la correcta.</w:t>
      </w:r>
    </w:p>
    <w:p w:rsidR="00CE090F" w:rsidRPr="003A55A1" w:rsidRDefault="00CE090F" w:rsidP="00CE090F">
      <w:pPr>
        <w:spacing w:after="0" w:line="240" w:lineRule="auto"/>
        <w:jc w:val="both"/>
        <w:rPr>
          <w:rFonts w:ascii="Century Gothic" w:hAnsi="Century Gothic"/>
        </w:rPr>
      </w:pPr>
    </w:p>
    <w:p w:rsidR="00CE090F" w:rsidRPr="003A55A1" w:rsidRDefault="00CE090F" w:rsidP="00CE090F">
      <w:pPr>
        <w:spacing w:after="0" w:line="240" w:lineRule="auto"/>
        <w:jc w:val="both"/>
        <w:rPr>
          <w:rFonts w:ascii="Century Gothic" w:hAnsi="Century Gothic"/>
        </w:rPr>
      </w:pPr>
      <w:r w:rsidRPr="003A55A1">
        <w:rPr>
          <w:rFonts w:ascii="Century Gothic" w:hAnsi="Century Gothic"/>
        </w:rPr>
        <w:t xml:space="preserve">En el mes de Junio de 2019 Se reclasificó la cantidad de $ 27,850.00 más IVA,  de ORG DE MEXICO SA DE CV por concepto de  material para la reubicación de línea hidráulica de cisterna de la torre, motivo modernización. debido a que se clasificó en la partida de gasto 51240-2411-1140-15002-002 Materiales de construcción minerales no metálicos siendo correcta la partida  12362-2411-2140-15001-002 Materiales de construcción minerales no metálicos </w:t>
      </w:r>
    </w:p>
    <w:p w:rsidR="00CE090F" w:rsidRPr="003A55A1" w:rsidRDefault="00CE090F" w:rsidP="00CE090F">
      <w:pPr>
        <w:spacing w:after="0" w:line="240" w:lineRule="auto"/>
        <w:jc w:val="both"/>
        <w:rPr>
          <w:rFonts w:ascii="Century Gothic" w:hAnsi="Century Gothic"/>
        </w:rPr>
      </w:pPr>
    </w:p>
    <w:p w:rsidR="00CE090F" w:rsidRPr="003A55A1" w:rsidRDefault="00CE090F" w:rsidP="00CE090F">
      <w:pPr>
        <w:spacing w:after="0" w:line="240" w:lineRule="auto"/>
        <w:jc w:val="both"/>
        <w:rPr>
          <w:rFonts w:ascii="Century Gothic" w:hAnsi="Century Gothic"/>
        </w:rPr>
      </w:pPr>
      <w:r w:rsidRPr="003A55A1">
        <w:rPr>
          <w:rFonts w:ascii="Century Gothic" w:hAnsi="Century Gothic"/>
        </w:rPr>
        <w:t xml:space="preserve">En el mes de Junio de 2019 Se reclasificó la cantidad de $ 31,043.10 más IVA,  de BERMUDEZ RUIZ ALEJANDRO por concepto de  tubo pvc p/reubicación de drenaje en foro arlequín por motivo de la obra debido a que se clasificó en la partida de gasto 51240-2411-1140-15002-002 Materiales de construcción minerales no metálicos siendo correcta la partida  12362-2411-2140-15001-003 Materiales de construcción minerales no metálicos </w:t>
      </w:r>
    </w:p>
    <w:p w:rsidR="00CE090F" w:rsidRPr="003A55A1" w:rsidRDefault="00CE090F" w:rsidP="00CE090F">
      <w:pPr>
        <w:spacing w:after="0" w:line="240" w:lineRule="auto"/>
        <w:jc w:val="both"/>
        <w:rPr>
          <w:rFonts w:ascii="Century Gothic" w:hAnsi="Century Gothic"/>
        </w:rPr>
      </w:pPr>
    </w:p>
    <w:p w:rsidR="00CE090F" w:rsidRPr="003A55A1" w:rsidRDefault="00CE090F" w:rsidP="00CE090F">
      <w:pPr>
        <w:spacing w:after="0" w:line="240" w:lineRule="auto"/>
        <w:jc w:val="both"/>
        <w:rPr>
          <w:rFonts w:ascii="Century Gothic" w:hAnsi="Century Gothic"/>
          <w:color w:val="000000"/>
        </w:rPr>
      </w:pPr>
      <w:r w:rsidRPr="003A55A1">
        <w:rPr>
          <w:rFonts w:ascii="Century Gothic" w:hAnsi="Century Gothic"/>
        </w:rPr>
        <w:t xml:space="preserve">En el mes de Junio de 2019 Se reclasificó la cantidad de </w:t>
      </w:r>
      <w:r w:rsidRPr="003A55A1">
        <w:rPr>
          <w:rFonts w:ascii="Arial" w:eastAsia="Times New Roman" w:hAnsi="Arial" w:cs="Arial"/>
          <w:sz w:val="20"/>
          <w:szCs w:val="20"/>
          <w:lang w:val="es-MX" w:eastAsia="es-MX"/>
        </w:rPr>
        <w:t xml:space="preserve">$ </w:t>
      </w:r>
      <w:r w:rsidRPr="003A55A1">
        <w:rPr>
          <w:rFonts w:ascii="Century Gothic" w:hAnsi="Century Gothic"/>
        </w:rPr>
        <w:t xml:space="preserve">148,205.48, 17,475.84 , y 35,757.01 más IVA,  de FERRETERA GARO, S.A. DE C.V. por concepto de  material para la construcción  de modulo sanitario en interior del parque explora debido a que se clasificaron en las partidas de gasto 51240-2411-1140-15002-002 Materiales de construcción minerales no metálicos, </w:t>
      </w:r>
      <w:r w:rsidRPr="003A55A1">
        <w:rPr>
          <w:rFonts w:ascii="Century Gothic" w:hAnsi="Century Gothic"/>
          <w:color w:val="000000"/>
        </w:rPr>
        <w:t>51240-2471-1140-15001-002 Estructuras y manufacturas y 51240-2491-1140-15001-002 Materiales diversos y siendo correctas las part</w:t>
      </w:r>
      <w:r w:rsidRPr="003A55A1">
        <w:rPr>
          <w:rFonts w:ascii="Century Gothic" w:hAnsi="Century Gothic"/>
        </w:rPr>
        <w:t xml:space="preserve">idas  12362-2411-2140-15002-002 Materiales de construcción minerales no metálicos, </w:t>
      </w:r>
      <w:r w:rsidRPr="003A55A1">
        <w:rPr>
          <w:rFonts w:ascii="Century Gothic" w:hAnsi="Century Gothic"/>
          <w:color w:val="000000"/>
        </w:rPr>
        <w:t>12362-2471-2140-15001-002 Estructuras y manufacturas y 12362-2491-2140-15001-002 Materiales diversos, respectivamente.</w:t>
      </w:r>
    </w:p>
    <w:p w:rsidR="00CE090F" w:rsidRPr="003A55A1" w:rsidRDefault="00CE090F" w:rsidP="00CE090F">
      <w:pPr>
        <w:spacing w:after="0" w:line="240" w:lineRule="auto"/>
        <w:jc w:val="both"/>
        <w:rPr>
          <w:rFonts w:ascii="Century Gothic" w:hAnsi="Century Gothic"/>
          <w:color w:val="000000"/>
        </w:rPr>
      </w:pPr>
    </w:p>
    <w:p w:rsidR="00CE090F" w:rsidRPr="003A55A1" w:rsidRDefault="00CE090F" w:rsidP="00CE090F">
      <w:pPr>
        <w:spacing w:after="0" w:line="240" w:lineRule="auto"/>
        <w:jc w:val="both"/>
        <w:rPr>
          <w:rFonts w:ascii="Century Gothic" w:hAnsi="Century Gothic"/>
        </w:rPr>
      </w:pPr>
    </w:p>
    <w:p w:rsidR="00CE090F" w:rsidRPr="003A55A1" w:rsidRDefault="00CE090F" w:rsidP="00CE090F">
      <w:pPr>
        <w:spacing w:after="0" w:line="240" w:lineRule="auto"/>
        <w:jc w:val="both"/>
        <w:rPr>
          <w:rFonts w:ascii="Century Gothic" w:hAnsi="Century Gothic"/>
          <w:color w:val="000000"/>
        </w:rPr>
      </w:pPr>
      <w:r w:rsidRPr="003A55A1">
        <w:rPr>
          <w:rFonts w:ascii="Century Gothic" w:hAnsi="Century Gothic"/>
        </w:rPr>
        <w:t xml:space="preserve">En el mes de Junio de 2019 Se reclasificó la cantidad de $ 17,589.63, 1,466.21, 981.06,  más IVA,  de CAMPOS ALONSO MARCOS por concepto de  material de construcción para instalación en baños nuevos en acceso San Sebastián  debido a que se clasificaron en las partidas de gasto 51240-2411-1140-15002-002 Materiales de construcción minerales no metálicos y  </w:t>
      </w:r>
      <w:r w:rsidRPr="003A55A1">
        <w:rPr>
          <w:rFonts w:ascii="Century Gothic" w:hAnsi="Century Gothic"/>
          <w:color w:val="000000"/>
        </w:rPr>
        <w:t>51240-2471-1140-15001-002 Estructuras y manufacturas 12362-2491-2140-15001-002 Materiales diversos</w:t>
      </w:r>
      <w:r w:rsidRPr="003A55A1">
        <w:rPr>
          <w:rFonts w:ascii="Century Gothic" w:hAnsi="Century Gothic"/>
        </w:rPr>
        <w:t xml:space="preserve"> siendo correctas las partidas  12362-2411-2140-15001-005 Materiales de construcción minerales no metálicos y </w:t>
      </w:r>
      <w:r w:rsidRPr="003A55A1">
        <w:rPr>
          <w:rFonts w:ascii="Century Gothic" w:hAnsi="Century Gothic"/>
          <w:color w:val="000000"/>
        </w:rPr>
        <w:t>12362-2471-2140-15001-002 Estructuras y manufacturas, respectivamente 12362-2491-2140-15001-002 Materiales diversos</w:t>
      </w:r>
    </w:p>
    <w:p w:rsidR="00CE090F" w:rsidRPr="003A55A1" w:rsidRDefault="00CE090F" w:rsidP="00CE090F">
      <w:pPr>
        <w:spacing w:after="0" w:line="240" w:lineRule="auto"/>
        <w:jc w:val="both"/>
        <w:rPr>
          <w:rFonts w:ascii="Century Gothic" w:hAnsi="Century Gothic"/>
        </w:rPr>
      </w:pPr>
    </w:p>
    <w:p w:rsidR="00CE090F" w:rsidRPr="003A55A1" w:rsidRDefault="00CE090F" w:rsidP="00CE090F">
      <w:pPr>
        <w:spacing w:after="0" w:line="240" w:lineRule="auto"/>
        <w:jc w:val="both"/>
        <w:rPr>
          <w:rFonts w:ascii="Century Gothic" w:hAnsi="Century Gothic"/>
        </w:rPr>
      </w:pPr>
      <w:r w:rsidRPr="003A55A1">
        <w:rPr>
          <w:rFonts w:ascii="Century Gothic" w:hAnsi="Century Gothic"/>
        </w:rPr>
        <w:t xml:space="preserve">En el mes de Junio de 2019 Se reclasificó la cantidad de $ 1,800.00 más IVA,  de ORG DE MEXICO SA DE CV por concepto de  viaje de arena para planillas de los baños nuevos del parque explora debido a que se clasificó en la partida de gasto 51240-2411-1140-15002-002 Materiales de construcción minerales no metálicos siendo correcta la partida  12362-2411-2140-15001-006 Materiales de construcción minerales no metálicos </w:t>
      </w:r>
    </w:p>
    <w:p w:rsidR="00CE090F" w:rsidRPr="003A55A1" w:rsidRDefault="00CE090F" w:rsidP="00CE090F">
      <w:pPr>
        <w:spacing w:after="0" w:line="240" w:lineRule="auto"/>
        <w:jc w:val="both"/>
        <w:rPr>
          <w:rFonts w:ascii="Century Gothic" w:hAnsi="Century Gothic"/>
        </w:rPr>
      </w:pPr>
    </w:p>
    <w:p w:rsidR="00CE090F" w:rsidRPr="003A55A1" w:rsidRDefault="00CE090F" w:rsidP="00CE090F">
      <w:pPr>
        <w:spacing w:after="0" w:line="240" w:lineRule="auto"/>
        <w:jc w:val="both"/>
        <w:rPr>
          <w:rFonts w:ascii="Century Gothic" w:hAnsi="Century Gothic"/>
        </w:rPr>
      </w:pPr>
      <w:r w:rsidRPr="003A55A1">
        <w:rPr>
          <w:rFonts w:ascii="Century Gothic" w:hAnsi="Century Gothic"/>
        </w:rPr>
        <w:t xml:space="preserve">En el mes de Junio de 2019 Se reclasificó la cantidad de $ 8,163.06 más IVA,  de CAMPOS ALONSO MARCOS por concepto de  tubo de pvc para la acometida hidráulica a los baños nuevos del parque explora debido a que se clasificó en la partida de gasto 51240-2411-1140-15002-002 Materiales de construcción minerales no metálicos siendo correcta la partida  12362-2411-2140-15001-007 Materiales de construcción minerales no metálicos </w:t>
      </w:r>
    </w:p>
    <w:p w:rsidR="00CE090F" w:rsidRPr="003A55A1" w:rsidRDefault="00CE090F" w:rsidP="00CE090F">
      <w:pPr>
        <w:spacing w:after="0" w:line="240" w:lineRule="auto"/>
        <w:jc w:val="both"/>
        <w:rPr>
          <w:rFonts w:ascii="Century Gothic" w:hAnsi="Century Gothic"/>
        </w:rPr>
      </w:pPr>
    </w:p>
    <w:p w:rsidR="00CE090F" w:rsidRPr="003A55A1" w:rsidRDefault="00CE090F" w:rsidP="00CE090F">
      <w:pPr>
        <w:spacing w:after="0" w:line="240" w:lineRule="auto"/>
        <w:jc w:val="both"/>
        <w:rPr>
          <w:rFonts w:ascii="Century Gothic" w:hAnsi="Century Gothic"/>
        </w:rPr>
      </w:pPr>
      <w:r w:rsidRPr="003A55A1">
        <w:rPr>
          <w:rFonts w:ascii="Century Gothic" w:hAnsi="Century Gothic"/>
        </w:rPr>
        <w:t xml:space="preserve">En el mes de Junio de 2019 Se reclasificó la cantidad de $ 22,495.09 más IVA,  de LUNA BECERRA CARLOS ELIAS por concepto de  material para la instalación en baños nuevos en san Sebastián dentro del parque explora debido a que se clasificó en la partida de gasto 51240-2461-1140-15002-002 Material eléctrico y electrónico siendo correcta la partida  12362-2461-2140-15001-002 Material eléctrico y electrónico </w:t>
      </w:r>
    </w:p>
    <w:p w:rsidR="00CE090F" w:rsidRPr="003A55A1" w:rsidRDefault="00CE090F" w:rsidP="00CE090F">
      <w:pPr>
        <w:spacing w:after="0" w:line="240" w:lineRule="auto"/>
        <w:jc w:val="both"/>
        <w:rPr>
          <w:rFonts w:ascii="Century Gothic" w:hAnsi="Century Gothic"/>
        </w:rPr>
      </w:pPr>
    </w:p>
    <w:p w:rsidR="00CE090F" w:rsidRPr="003A55A1" w:rsidRDefault="00CE090F" w:rsidP="00CE090F">
      <w:pPr>
        <w:spacing w:after="0" w:line="240" w:lineRule="auto"/>
        <w:jc w:val="both"/>
        <w:rPr>
          <w:rFonts w:ascii="Century Gothic" w:hAnsi="Century Gothic"/>
        </w:rPr>
      </w:pPr>
      <w:r w:rsidRPr="003A55A1">
        <w:rPr>
          <w:rFonts w:ascii="Century Gothic" w:hAnsi="Century Gothic"/>
        </w:rPr>
        <w:t xml:space="preserve">En el mes de Junio de 2019 Se reclasificó la cantidad de $ 2,165.94 más IVA,  de LUNA BECERRA CARLOS ELIAS por concepto de  lámparas para instalación de iluminación en baños nuevos del parque explora debido a que se clasificó en la partida de gasto 51240-2461-1140-15002-002 Material eléctrico y electrónico siendo correcta la partida  12362-2461-2140-15001-002 Material eléctrico y electrónico </w:t>
      </w:r>
    </w:p>
    <w:p w:rsidR="00CE090F" w:rsidRPr="003A55A1" w:rsidRDefault="00CE090F" w:rsidP="00CE090F">
      <w:pPr>
        <w:spacing w:after="0" w:line="240" w:lineRule="auto"/>
        <w:jc w:val="both"/>
        <w:rPr>
          <w:rFonts w:ascii="Century Gothic" w:hAnsi="Century Gothic"/>
        </w:rPr>
      </w:pPr>
    </w:p>
    <w:p w:rsidR="00CE090F" w:rsidRPr="003A55A1" w:rsidRDefault="00CE090F" w:rsidP="00CE090F">
      <w:pPr>
        <w:spacing w:after="0" w:line="240" w:lineRule="auto"/>
        <w:jc w:val="both"/>
        <w:rPr>
          <w:rFonts w:ascii="Century Gothic" w:hAnsi="Century Gothic"/>
        </w:rPr>
      </w:pPr>
      <w:r w:rsidRPr="003A55A1">
        <w:rPr>
          <w:rFonts w:ascii="Century Gothic" w:hAnsi="Century Gothic"/>
        </w:rPr>
        <w:t xml:space="preserve">En el mes de Junio de 2019 Se reclasificó la cantidad de $ 2,063.85 más IVA,  de SANCHES MARTINES MA. GUADALUPE por concepto de  lámpara para instalar iluminación en baños nuevos del parque debido a que se clasificó en la partida de gasto 51240-2461-1140-15002-002 Material eléctrico y electrónico siendo correcta la partida  12362-2461-2140-15001-002 Material eléctrico y electrónico </w:t>
      </w:r>
    </w:p>
    <w:p w:rsidR="00CE090F" w:rsidRPr="003A55A1" w:rsidRDefault="00CE090F" w:rsidP="00CE090F">
      <w:pPr>
        <w:spacing w:after="0" w:line="240" w:lineRule="auto"/>
        <w:jc w:val="both"/>
        <w:rPr>
          <w:rFonts w:ascii="Century Gothic" w:hAnsi="Century Gothic"/>
        </w:rPr>
      </w:pPr>
    </w:p>
    <w:p w:rsidR="00CE090F" w:rsidRPr="003A55A1" w:rsidRDefault="00CE090F" w:rsidP="00CE090F">
      <w:pPr>
        <w:spacing w:after="0" w:line="240" w:lineRule="auto"/>
        <w:jc w:val="both"/>
        <w:rPr>
          <w:rFonts w:ascii="Century Gothic" w:hAnsi="Century Gothic"/>
        </w:rPr>
      </w:pPr>
    </w:p>
    <w:p w:rsidR="00CE090F" w:rsidRPr="003A55A1" w:rsidRDefault="00CE090F" w:rsidP="00CE090F">
      <w:pPr>
        <w:spacing w:after="0" w:line="240" w:lineRule="auto"/>
        <w:jc w:val="both"/>
        <w:rPr>
          <w:rFonts w:ascii="Century Gothic" w:hAnsi="Century Gothic"/>
        </w:rPr>
      </w:pPr>
      <w:r w:rsidRPr="003A55A1">
        <w:rPr>
          <w:rFonts w:ascii="Century Gothic" w:hAnsi="Century Gothic"/>
        </w:rPr>
        <w:t xml:space="preserve">En el mes de Junio de 2019 Se reclasificó la cantidad de $ 25,060.00 más IVA,  de CONSTRUCTORA MADACO S. DE R.L. DE C.V. por concepto de cerramientos en fachadas de baños del acceso a san Sebastián en parque explora debido a que se clasificó en la partida de gasto 51240-2471-1140-15002-002 Estructuras </w:t>
      </w:r>
      <w:r w:rsidRPr="003A55A1">
        <w:rPr>
          <w:rFonts w:ascii="Century Gothic" w:hAnsi="Century Gothic"/>
        </w:rPr>
        <w:lastRenderedPageBreak/>
        <w:t xml:space="preserve">y manufacturas siendo correcta la partida  12362-2471-2140-15001-002 Estructuras y manufacturas Estructuras y manufacturas </w:t>
      </w:r>
    </w:p>
    <w:p w:rsidR="00CE090F" w:rsidRPr="003A55A1" w:rsidRDefault="00CE090F" w:rsidP="00CE090F">
      <w:pPr>
        <w:spacing w:after="0" w:line="240" w:lineRule="auto"/>
        <w:jc w:val="both"/>
        <w:rPr>
          <w:rFonts w:ascii="Century Gothic" w:hAnsi="Century Gothic"/>
        </w:rPr>
      </w:pPr>
    </w:p>
    <w:p w:rsidR="00CE090F" w:rsidRPr="003A55A1" w:rsidRDefault="00CE090F" w:rsidP="00CE090F">
      <w:pPr>
        <w:spacing w:after="0" w:line="240" w:lineRule="auto"/>
        <w:jc w:val="both"/>
        <w:rPr>
          <w:rFonts w:ascii="Century Gothic" w:hAnsi="Century Gothic"/>
        </w:rPr>
      </w:pPr>
      <w:r w:rsidRPr="003A55A1">
        <w:rPr>
          <w:rFonts w:ascii="Century Gothic" w:hAnsi="Century Gothic"/>
        </w:rPr>
        <w:t xml:space="preserve">En el mes de Junio de 2019 Se reclasificó la cantidad de $ 3,200.00 más IVA,  de DELGADO MEDEL JORGE por concepto de  adquisición de 5 registros para instalar en baños nuevos del parque explora debido a que se clasificó en la partida de gasto 51240-2471-1140-15002-002 Estructuras y manufacturas siendo correcta la partida  12362-2471-2140-15001-002 Estructuras y manufacturas Estructuras y manufacturas </w:t>
      </w:r>
    </w:p>
    <w:p w:rsidR="00CE090F" w:rsidRPr="003A55A1" w:rsidRDefault="00CE090F" w:rsidP="00CE090F">
      <w:pPr>
        <w:spacing w:after="0" w:line="240" w:lineRule="auto"/>
        <w:jc w:val="both"/>
        <w:rPr>
          <w:rFonts w:ascii="Century Gothic" w:hAnsi="Century Gothic"/>
        </w:rPr>
      </w:pPr>
    </w:p>
    <w:p w:rsidR="00CE090F" w:rsidRPr="003A55A1" w:rsidRDefault="00CE090F" w:rsidP="00CE090F">
      <w:pPr>
        <w:spacing w:after="0" w:line="240" w:lineRule="auto"/>
        <w:jc w:val="both"/>
        <w:rPr>
          <w:rFonts w:ascii="Century Gothic" w:hAnsi="Century Gothic"/>
        </w:rPr>
      </w:pPr>
      <w:r w:rsidRPr="003A55A1">
        <w:rPr>
          <w:rFonts w:ascii="Century Gothic" w:hAnsi="Century Gothic"/>
        </w:rPr>
        <w:t xml:space="preserve">En el mes de Junio de 2019 Se reclasificó la cantidad de </w:t>
      </w:r>
      <w:r w:rsidRPr="003A55A1">
        <w:rPr>
          <w:rFonts w:ascii="Arial" w:eastAsia="Times New Roman" w:hAnsi="Arial" w:cs="Arial"/>
          <w:sz w:val="20"/>
          <w:szCs w:val="20"/>
          <w:lang w:val="es-MX" w:eastAsia="es-MX"/>
        </w:rPr>
        <w:t xml:space="preserve">$ </w:t>
      </w:r>
      <w:r w:rsidRPr="003A55A1">
        <w:rPr>
          <w:rFonts w:ascii="Century Gothic" w:hAnsi="Century Gothic"/>
        </w:rPr>
        <w:t xml:space="preserve">14,315.36 más IVA,  de FERRETERA GARO, S.A. DE C.V. por concepto de  pegamento para llevar acabo instalación de azulejo y lambrión en baños nuevos  del parque, debido a que se clasificó en la partida de gasto 51240-2491-1140-15002-002 Materiales diversos siendo correcta la partida  12362-2491-2140-15001-002 Materiales diversos </w:t>
      </w:r>
    </w:p>
    <w:p w:rsidR="00CE090F" w:rsidRPr="003A55A1" w:rsidRDefault="00CE090F" w:rsidP="00CE090F">
      <w:pPr>
        <w:spacing w:after="0" w:line="240" w:lineRule="auto"/>
        <w:jc w:val="both"/>
        <w:rPr>
          <w:rFonts w:ascii="Arial" w:eastAsia="Times New Roman" w:hAnsi="Arial" w:cs="Arial"/>
          <w:sz w:val="20"/>
          <w:szCs w:val="20"/>
          <w:lang w:val="es-MX" w:eastAsia="es-MX"/>
        </w:rPr>
      </w:pPr>
    </w:p>
    <w:p w:rsidR="00CE090F" w:rsidRPr="003A55A1" w:rsidRDefault="00CE090F" w:rsidP="00CE090F">
      <w:pPr>
        <w:spacing w:after="0" w:line="240" w:lineRule="auto"/>
        <w:jc w:val="both"/>
        <w:rPr>
          <w:rFonts w:ascii="Century Gothic" w:hAnsi="Century Gothic"/>
        </w:rPr>
      </w:pPr>
      <w:r w:rsidRPr="003A55A1">
        <w:rPr>
          <w:rFonts w:ascii="Century Gothic" w:hAnsi="Century Gothic"/>
        </w:rPr>
        <w:t>En el mes de Junio de 2019 Se reclasificó la cantidad de $ 30, 000.00 más IVA, de TRACSA, S.A.P.I. DE C.V. renta de plataforma articulada para llevar a cabo reubicación de cotorras argenta debido a que se clasificó en la partida de gasto 51320-3261-1140-15002-002 Arrendamiento de maquinaria y equipo siendo correcta la partida 12362-3261-2140-15001-002 Arrendamiento de maquinaria y equipo</w:t>
      </w:r>
    </w:p>
    <w:p w:rsidR="00A17FA9" w:rsidRPr="003A55A1" w:rsidRDefault="00A17FA9" w:rsidP="00A17FA9">
      <w:pPr>
        <w:jc w:val="both"/>
        <w:rPr>
          <w:rFonts w:ascii="Century Gothic" w:hAnsi="Century Gothic"/>
        </w:rPr>
      </w:pPr>
      <w:r w:rsidRPr="003A55A1">
        <w:rPr>
          <w:rFonts w:ascii="Century Gothic" w:hAnsi="Century Gothic"/>
        </w:rPr>
        <w:t xml:space="preserve">En el mes de agosto de 2019 se pago lo siguiente: </w:t>
      </w:r>
    </w:p>
    <w:p w:rsidR="00A17FA9" w:rsidRPr="003A55A1" w:rsidRDefault="00A17FA9" w:rsidP="00A17FA9">
      <w:pPr>
        <w:jc w:val="both"/>
        <w:rPr>
          <w:rFonts w:ascii="Century Gothic" w:hAnsi="Century Gothic"/>
        </w:rPr>
      </w:pPr>
      <w:r w:rsidRPr="003A55A1">
        <w:rPr>
          <w:rFonts w:ascii="Century Gothic" w:hAnsi="Century Gothic"/>
        </w:rPr>
        <w:t xml:space="preserve">A METALES LAMINADOS APARMEX, S.A. DE C.V la segunda estimación finiquito del desmantelamiento y demolición del salón c1 en las instalaciones de la feria por $69,813.64 más IVA </w:t>
      </w:r>
    </w:p>
    <w:p w:rsidR="00A17FA9" w:rsidRPr="003A55A1" w:rsidRDefault="00A17FA9" w:rsidP="00A17FA9">
      <w:pPr>
        <w:jc w:val="both"/>
        <w:rPr>
          <w:rFonts w:ascii="Century Gothic" w:hAnsi="Century Gothic"/>
        </w:rPr>
      </w:pPr>
      <w:r w:rsidRPr="003A55A1">
        <w:rPr>
          <w:rFonts w:ascii="Century Gothic" w:hAnsi="Century Gothic"/>
        </w:rPr>
        <w:t>A NUÑO MC GREGOR Y DE BUEN ARQUITECTOS la cuarta y la quinta estimación finiquito del plan maestro del espacio vinculatorio de la cabecera norte en las instalaciones de la feria por la cantidad de $345,000.00 y $138,000.00 más iva respectivamente.</w:t>
      </w:r>
    </w:p>
    <w:p w:rsidR="00C46197" w:rsidRPr="003A55A1" w:rsidRDefault="00A17FA9" w:rsidP="00A17FA9">
      <w:pPr>
        <w:jc w:val="both"/>
        <w:rPr>
          <w:rFonts w:ascii="Century Gothic" w:hAnsi="Century Gothic"/>
        </w:rPr>
      </w:pPr>
      <w:r w:rsidRPr="003A55A1">
        <w:rPr>
          <w:rFonts w:ascii="Century Gothic" w:hAnsi="Century Gothic"/>
        </w:rPr>
        <w:t>A PROYECTO, ARQUITECTURA, DISEÑO , INGENIERIA Y SUPERVISION la quinta estimación finiquito del seguimiento y validación del proyecto ejecutivo de edificios de bares y restaurantes por la cantidad de 8,012.82 más iva</w:t>
      </w:r>
    </w:p>
    <w:p w:rsidR="00A17FA9" w:rsidRPr="003A55A1" w:rsidRDefault="00A17FA9" w:rsidP="00A17FA9">
      <w:pPr>
        <w:jc w:val="both"/>
        <w:rPr>
          <w:rFonts w:ascii="Century Gothic" w:hAnsi="Century Gothic"/>
        </w:rPr>
      </w:pPr>
      <w:r w:rsidRPr="003A55A1">
        <w:rPr>
          <w:rFonts w:ascii="Century Gothic" w:hAnsi="Century Gothic"/>
        </w:rPr>
        <w:t>En el mes de agosto de 2019 se adquirió un equipo de cómputo para el auxiliar de servicios generales por la cantidad de 9,848.92</w:t>
      </w:r>
    </w:p>
    <w:p w:rsidR="00CD1D4E" w:rsidRPr="003A55A1" w:rsidRDefault="00CD1D4E" w:rsidP="00A17FA9">
      <w:pPr>
        <w:jc w:val="both"/>
        <w:rPr>
          <w:rFonts w:ascii="Century Gothic" w:hAnsi="Century Gothic"/>
        </w:rPr>
      </w:pPr>
      <w:r w:rsidRPr="003A55A1">
        <w:rPr>
          <w:rFonts w:ascii="Century Gothic" w:hAnsi="Century Gothic"/>
        </w:rPr>
        <w:t>En el mes de septiembre de 2019 se pagó a OSSIO GRASSO LUIS OSCAR  servicio, gestoría, tramite y responsiva para cumplir con normativa en materia de desarrollo urbano por la cantidad de $16,900.00 mas IVA</w:t>
      </w:r>
    </w:p>
    <w:p w:rsidR="006C508C" w:rsidRPr="003A55A1" w:rsidRDefault="006C508C" w:rsidP="006C508C">
      <w:pPr>
        <w:jc w:val="both"/>
        <w:rPr>
          <w:rFonts w:ascii="Century Gothic" w:hAnsi="Century Gothic"/>
        </w:rPr>
      </w:pPr>
      <w:r w:rsidRPr="003A55A1">
        <w:rPr>
          <w:rFonts w:ascii="Century Gothic" w:hAnsi="Century Gothic"/>
        </w:rPr>
        <w:t>En el mes de octubre de 2019 se pagó a PAZ ESTRADA JOSE LUIS Suministro e instalación de quipo de aire acondicionado mini-split para reubicación de la coordinación ejecutiva por la cantidad de $ 9,840.00 más IVA.</w:t>
      </w:r>
    </w:p>
    <w:p w:rsidR="006C508C" w:rsidRPr="003A55A1" w:rsidRDefault="006C508C" w:rsidP="006C508C">
      <w:pPr>
        <w:jc w:val="both"/>
        <w:rPr>
          <w:rFonts w:ascii="Century Gothic" w:hAnsi="Century Gothic"/>
        </w:rPr>
      </w:pPr>
    </w:p>
    <w:p w:rsidR="006C508C" w:rsidRPr="003A55A1" w:rsidRDefault="006C508C" w:rsidP="006C508C">
      <w:pPr>
        <w:jc w:val="both"/>
        <w:rPr>
          <w:rFonts w:ascii="Century Gothic" w:hAnsi="Century Gothic"/>
        </w:rPr>
      </w:pPr>
      <w:r w:rsidRPr="003A55A1">
        <w:rPr>
          <w:rFonts w:ascii="Century Gothic" w:hAnsi="Century Gothic"/>
        </w:rPr>
        <w:lastRenderedPageBreak/>
        <w:t>En el mes de Octubre de 2019 se pagó a ESQUIVEL DOMINGUEZ ARACELI computadora para reposición de equipo dañado al área de comercialización durante la operación de feria 2019 por la cantidad de $ 9,299.50 más IVA.</w:t>
      </w:r>
    </w:p>
    <w:p w:rsidR="006C508C" w:rsidRPr="003A55A1" w:rsidRDefault="006C508C" w:rsidP="006C508C">
      <w:pPr>
        <w:jc w:val="both"/>
        <w:rPr>
          <w:rFonts w:ascii="Century Gothic" w:hAnsi="Century Gothic"/>
        </w:rPr>
      </w:pPr>
      <w:r w:rsidRPr="003A55A1">
        <w:rPr>
          <w:rFonts w:ascii="Century Gothic" w:hAnsi="Century Gothic"/>
        </w:rPr>
        <w:t>En el mes de octubre de 2019 se adquirió computadora para la subdirección de servicios generales por reposición de la misma de equipo dañado por la inundación ocurrida el 5 de junio de 2019, este pago se efectuó con recursos de la indemnización que nos cubrió la aseguradora Grupo Mexicano de Seguros, S.A de C.V. con un costo de 11,558.24 IVA INCLUIDO</w:t>
      </w:r>
    </w:p>
    <w:p w:rsidR="006C508C" w:rsidRPr="003A55A1" w:rsidRDefault="006C508C" w:rsidP="006C508C">
      <w:pPr>
        <w:jc w:val="both"/>
        <w:rPr>
          <w:rFonts w:ascii="Century Gothic" w:hAnsi="Century Gothic"/>
        </w:rPr>
      </w:pPr>
      <w:r w:rsidRPr="003A55A1">
        <w:rPr>
          <w:rFonts w:ascii="Century Gothic" w:hAnsi="Century Gothic"/>
        </w:rPr>
        <w:t xml:space="preserve">En el mes de octubre se registró en activo no circulante la adquisición de 2 computadoras por la cantidad de 24,588.31 que se habían comprado en el mes de agosto de 2019 con cargo a la cuenta  por cobrar a nombre de la aseguradora </w:t>
      </w:r>
      <w:r w:rsidR="0007568E" w:rsidRPr="003A55A1">
        <w:rPr>
          <w:rFonts w:ascii="Century Gothic" w:hAnsi="Century Gothic"/>
        </w:rPr>
        <w:t>grupo mexicano de seguros en lo</w:t>
      </w:r>
      <w:r w:rsidRPr="003A55A1">
        <w:rPr>
          <w:rFonts w:ascii="Century Gothic" w:hAnsi="Century Gothic"/>
        </w:rPr>
        <w:t xml:space="preserve"> que nos depositaba la indemnización correspondientes para reponer las siniestradas en la inundación del 5 de junio de 2019. La indemnización por parte del seguro fue depositada en el mes de octubre de 2019 motivo por el cual hasta esta fecha se reconocen como activo.</w:t>
      </w:r>
    </w:p>
    <w:p w:rsidR="006F3ED1" w:rsidRPr="003A55A1" w:rsidRDefault="006F3ED1" w:rsidP="006F3ED1">
      <w:pPr>
        <w:jc w:val="both"/>
        <w:rPr>
          <w:rFonts w:ascii="Century Gothic" w:hAnsi="Century Gothic"/>
        </w:rPr>
      </w:pPr>
      <w:r w:rsidRPr="003A55A1">
        <w:rPr>
          <w:rFonts w:ascii="Century Gothic" w:hAnsi="Century Gothic"/>
        </w:rPr>
        <w:t>En el mes de Noviembre de 2019 se pagó a PROYECTO, ARQUITECTURA, DISEÑO, INGENIERIA Y SUPERVISION S.A. DE C.V gerencia y coordinación para el desarrollo del proyecto ejecutivo de la plaza norte de la feria por la cantidad de $ 31,677.71 más IVA.</w:t>
      </w:r>
    </w:p>
    <w:p w:rsidR="006F3ED1" w:rsidRPr="003A55A1" w:rsidRDefault="006F3ED1" w:rsidP="006F3ED1">
      <w:pPr>
        <w:jc w:val="both"/>
        <w:rPr>
          <w:rFonts w:ascii="Century Gothic" w:hAnsi="Century Gothic"/>
        </w:rPr>
      </w:pPr>
      <w:r w:rsidRPr="003A55A1">
        <w:rPr>
          <w:rFonts w:ascii="Century Gothic" w:hAnsi="Century Gothic"/>
        </w:rPr>
        <w:t>En el mes de Noviembre de 2019 se pagó a NUÑO MAC GREGOR Y DE BUEN ARQUITECTOS S.C. 1ra estimación del proyecto ejecutivo de la plaza norte de la feria estatal de león por la cantidad de $ 630,000.00 más IVA.</w:t>
      </w:r>
    </w:p>
    <w:p w:rsidR="006F3ED1" w:rsidRPr="003A55A1" w:rsidRDefault="006F3ED1" w:rsidP="006F3ED1">
      <w:pPr>
        <w:jc w:val="both"/>
        <w:rPr>
          <w:rFonts w:ascii="Century Gothic" w:hAnsi="Century Gothic"/>
        </w:rPr>
      </w:pPr>
      <w:r w:rsidRPr="003A55A1">
        <w:rPr>
          <w:rFonts w:ascii="Century Gothic" w:hAnsi="Century Gothic"/>
        </w:rPr>
        <w:t xml:space="preserve">En el mes de Noviembre de 2019 se adquirio una Caja fuerte para el área de presidencia de oficinas generales para resguardo de valores   por la cantidad de $ 28,431.03 más IVA </w:t>
      </w:r>
    </w:p>
    <w:p w:rsidR="006F3ED1" w:rsidRPr="003A55A1" w:rsidRDefault="006F3ED1" w:rsidP="006F3ED1">
      <w:pPr>
        <w:jc w:val="both"/>
        <w:rPr>
          <w:rFonts w:ascii="Century Gothic" w:hAnsi="Century Gothic"/>
        </w:rPr>
      </w:pPr>
      <w:r w:rsidRPr="003A55A1">
        <w:rPr>
          <w:rFonts w:ascii="Century Gothic" w:hAnsi="Century Gothic"/>
        </w:rPr>
        <w:t>En el mes de noviembre de 2019 se pagó el primer pago según contrato cámaras de circuito cerrado de televisión para instalaciones del patronato de la feria para el área de Seguridad  por la cantidad de $ 694,137.71 más IVA.</w:t>
      </w:r>
    </w:p>
    <w:p w:rsidR="003F5404" w:rsidRPr="003A55A1" w:rsidRDefault="003F5404" w:rsidP="006F3ED1">
      <w:pPr>
        <w:jc w:val="both"/>
        <w:rPr>
          <w:rFonts w:ascii="Century Gothic" w:hAnsi="Century Gothic"/>
        </w:rPr>
      </w:pPr>
      <w:r w:rsidRPr="003A55A1">
        <w:rPr>
          <w:rFonts w:ascii="Century Gothic" w:hAnsi="Century Gothic"/>
        </w:rPr>
        <w:t xml:space="preserve">En el mes de noviembre de 2019 se autorizó por el Consejo Directivo bajas de bienes muebles inservibles, robados y siniestrados, </w:t>
      </w:r>
      <w:r w:rsidR="007A1CD2" w:rsidRPr="003A55A1">
        <w:rPr>
          <w:rFonts w:ascii="Century Gothic" w:hAnsi="Century Gothic"/>
        </w:rPr>
        <w:t xml:space="preserve">con un valor total de adquisición por la cantidad de $1,332,110.94 y una depreciación acumulada a octubre de 2019 de $1,264,394.90, </w:t>
      </w:r>
      <w:r w:rsidRPr="003A55A1">
        <w:rPr>
          <w:rFonts w:ascii="Century Gothic" w:hAnsi="Century Gothic"/>
        </w:rPr>
        <w:t xml:space="preserve">la baja contable y del inventario físico se efectuara </w:t>
      </w:r>
      <w:r w:rsidR="007A1CD2" w:rsidRPr="003A55A1">
        <w:rPr>
          <w:rFonts w:ascii="Century Gothic" w:hAnsi="Century Gothic"/>
        </w:rPr>
        <w:t xml:space="preserve">una vez que el H. Ayuntamiento autorice la baja correspondiente.  </w:t>
      </w:r>
    </w:p>
    <w:p w:rsidR="0006199C" w:rsidRPr="003A55A1" w:rsidRDefault="0006199C" w:rsidP="0006199C">
      <w:pPr>
        <w:spacing w:after="0" w:line="240" w:lineRule="auto"/>
        <w:jc w:val="both"/>
        <w:rPr>
          <w:rFonts w:ascii="Century Gothic" w:hAnsi="Century Gothic"/>
        </w:rPr>
      </w:pPr>
      <w:r w:rsidRPr="003A55A1">
        <w:rPr>
          <w:rFonts w:ascii="Century Gothic" w:hAnsi="Century Gothic"/>
        </w:rPr>
        <w:t>En el mes de Diciembre de 2019 se pagó a PIXIS, S.A. DE C.V. la ampliacion de red de distribucion de gas natural para area de restaurantes y bares dentro de instalaciones  recinto por la cantidad de 169,995.06 mas IVA.</w:t>
      </w:r>
    </w:p>
    <w:p w:rsidR="0006199C" w:rsidRPr="003A55A1" w:rsidRDefault="0006199C" w:rsidP="0006199C">
      <w:pPr>
        <w:spacing w:after="0" w:line="240" w:lineRule="auto"/>
        <w:jc w:val="both"/>
        <w:rPr>
          <w:rFonts w:ascii="Century Gothic" w:hAnsi="Century Gothic"/>
        </w:rPr>
      </w:pPr>
    </w:p>
    <w:p w:rsidR="0006199C" w:rsidRPr="003A55A1" w:rsidRDefault="0006199C" w:rsidP="0006199C">
      <w:pPr>
        <w:spacing w:after="0" w:line="240" w:lineRule="auto"/>
        <w:jc w:val="both"/>
        <w:rPr>
          <w:rFonts w:ascii="Century Gothic" w:hAnsi="Century Gothic"/>
        </w:rPr>
      </w:pPr>
      <w:r w:rsidRPr="003A55A1">
        <w:rPr>
          <w:rFonts w:ascii="Century Gothic" w:hAnsi="Century Gothic"/>
        </w:rPr>
        <w:lastRenderedPageBreak/>
        <w:t>En el mes de Diciembre de 2019 se pagó a NUÑO MAC GREGOR Y DE BUEN ARQUITECTOS S.C. la  2da estimación del proyecto ejecutivo de la plaza norte de la feria estatal de leon por la cantidad de 630,000.00 mas IVA.</w:t>
      </w:r>
    </w:p>
    <w:p w:rsidR="0006199C" w:rsidRPr="003A55A1" w:rsidRDefault="0006199C" w:rsidP="0006199C">
      <w:pPr>
        <w:spacing w:after="0" w:line="240" w:lineRule="auto"/>
        <w:jc w:val="both"/>
        <w:rPr>
          <w:rFonts w:ascii="Century Gothic" w:hAnsi="Century Gothic"/>
        </w:rPr>
      </w:pPr>
    </w:p>
    <w:p w:rsidR="0006199C" w:rsidRPr="003A55A1" w:rsidRDefault="0006199C" w:rsidP="0006199C">
      <w:pPr>
        <w:spacing w:after="0" w:line="240" w:lineRule="auto"/>
        <w:jc w:val="both"/>
        <w:rPr>
          <w:rFonts w:ascii="Century Gothic" w:hAnsi="Century Gothic"/>
        </w:rPr>
      </w:pPr>
      <w:r w:rsidRPr="003A55A1">
        <w:rPr>
          <w:rFonts w:ascii="Century Gothic" w:hAnsi="Century Gothic"/>
        </w:rPr>
        <w:t>En el mes de Diciembre de 2019 se pagó a CONSTRUCTORA MADACO S. DE R.L. DE C.V. est. 1 finiq. de trabajos de demolición muro de concreto, habilitación a  puertas metálicas por la cantidad de 619,183.88 más IVA.</w:t>
      </w:r>
    </w:p>
    <w:p w:rsidR="0006199C" w:rsidRPr="003A55A1" w:rsidRDefault="0006199C" w:rsidP="0006199C">
      <w:pPr>
        <w:spacing w:after="0" w:line="240" w:lineRule="auto"/>
        <w:jc w:val="both"/>
        <w:rPr>
          <w:rFonts w:ascii="Century Gothic" w:hAnsi="Century Gothic"/>
        </w:rPr>
      </w:pPr>
    </w:p>
    <w:p w:rsidR="0006199C" w:rsidRPr="003A55A1" w:rsidRDefault="0006199C" w:rsidP="0006199C">
      <w:pPr>
        <w:spacing w:after="0" w:line="240" w:lineRule="auto"/>
        <w:jc w:val="both"/>
        <w:rPr>
          <w:rFonts w:ascii="Century Gothic" w:hAnsi="Century Gothic"/>
        </w:rPr>
      </w:pPr>
      <w:r w:rsidRPr="003A55A1">
        <w:rPr>
          <w:rFonts w:ascii="Century Gothic" w:hAnsi="Century Gothic"/>
        </w:rPr>
        <w:t>En el mes de Diciembre de 2019 se pagó a PIXIS, S.A. DE C.V. estim. 2 ampliación de red de distribución de gas natural para area de restaurantes  y bares dentro de instalaciones  por la cantidad de 86,693.83 más IVA.</w:t>
      </w:r>
    </w:p>
    <w:p w:rsidR="0006199C" w:rsidRPr="003A55A1" w:rsidRDefault="0006199C" w:rsidP="0006199C">
      <w:pPr>
        <w:spacing w:after="0" w:line="240" w:lineRule="auto"/>
        <w:jc w:val="both"/>
        <w:rPr>
          <w:rFonts w:ascii="Century Gothic" w:hAnsi="Century Gothic"/>
        </w:rPr>
      </w:pPr>
    </w:p>
    <w:p w:rsidR="0006199C" w:rsidRPr="003A55A1" w:rsidRDefault="0006199C" w:rsidP="0006199C">
      <w:pPr>
        <w:spacing w:after="0" w:line="240" w:lineRule="auto"/>
        <w:jc w:val="both"/>
        <w:rPr>
          <w:rFonts w:ascii="Century Gothic" w:hAnsi="Century Gothic"/>
        </w:rPr>
      </w:pPr>
      <w:r w:rsidRPr="003A55A1">
        <w:rPr>
          <w:rFonts w:ascii="Century Gothic" w:hAnsi="Century Gothic"/>
        </w:rPr>
        <w:t>En el mes de Diciembre de 2019 se pagó a PIXIS, S.A. DE C.V. estim. 3 ampliación de red distribución de gas natural para área de restaurantes  y bares dentro de  las instalaciones  por la cantidad de 90,816.29 mas IVA.</w:t>
      </w:r>
    </w:p>
    <w:p w:rsidR="0006199C" w:rsidRPr="003A55A1" w:rsidRDefault="0006199C" w:rsidP="0006199C">
      <w:pPr>
        <w:spacing w:after="0" w:line="240" w:lineRule="auto"/>
        <w:jc w:val="both"/>
        <w:rPr>
          <w:rFonts w:ascii="Century Gothic" w:hAnsi="Century Gothic"/>
        </w:rPr>
      </w:pPr>
    </w:p>
    <w:p w:rsidR="0006199C" w:rsidRPr="003A55A1" w:rsidRDefault="0006199C" w:rsidP="0006199C">
      <w:pPr>
        <w:spacing w:after="0" w:line="240" w:lineRule="auto"/>
        <w:jc w:val="both"/>
        <w:rPr>
          <w:rFonts w:ascii="Century Gothic" w:hAnsi="Century Gothic"/>
        </w:rPr>
      </w:pPr>
      <w:r w:rsidRPr="003A55A1">
        <w:rPr>
          <w:rFonts w:ascii="Century Gothic" w:hAnsi="Century Gothic"/>
        </w:rPr>
        <w:t>En el mes de Diciembre de 2019 se pagó a CONSTRUCTORA ELECTRICA DEL BAJIO, S.A. DEC.V. Trabajos de acometida en media tensión, instalaciones  de subestación para operación del estacionamiento por la cantidad de 55,770.4 más IVA.</w:t>
      </w:r>
    </w:p>
    <w:p w:rsidR="0006199C" w:rsidRPr="003A55A1" w:rsidRDefault="0006199C" w:rsidP="0006199C">
      <w:pPr>
        <w:spacing w:after="0" w:line="240" w:lineRule="auto"/>
        <w:jc w:val="both"/>
        <w:rPr>
          <w:rFonts w:ascii="Century Gothic" w:hAnsi="Century Gothic"/>
        </w:rPr>
      </w:pPr>
    </w:p>
    <w:p w:rsidR="0006199C" w:rsidRPr="003A55A1" w:rsidRDefault="0006199C" w:rsidP="0006199C">
      <w:pPr>
        <w:spacing w:after="0" w:line="240" w:lineRule="auto"/>
        <w:jc w:val="both"/>
        <w:rPr>
          <w:rFonts w:ascii="Century Gothic" w:hAnsi="Century Gothic"/>
        </w:rPr>
      </w:pPr>
      <w:r w:rsidRPr="003A55A1">
        <w:rPr>
          <w:rFonts w:ascii="Century Gothic" w:hAnsi="Century Gothic"/>
        </w:rPr>
        <w:t>En el mes de Diciembre de 2019 se pagó a CONSTRUCTORA ELECTRICA DEL BAJIO, S.A. DEC.V.  Ampliación de red en media tensión e instalaciones de subestaciones áreas por ampliación  y reubicación  gritones por la cantidad de 406,645.98 más IVA.</w:t>
      </w:r>
    </w:p>
    <w:p w:rsidR="0006199C" w:rsidRPr="003A55A1" w:rsidRDefault="0006199C" w:rsidP="0006199C">
      <w:pPr>
        <w:spacing w:after="0" w:line="240" w:lineRule="auto"/>
        <w:jc w:val="both"/>
        <w:rPr>
          <w:rFonts w:ascii="Century Gothic" w:hAnsi="Century Gothic"/>
        </w:rPr>
      </w:pPr>
    </w:p>
    <w:p w:rsidR="0006199C" w:rsidRPr="003A55A1" w:rsidRDefault="0006199C" w:rsidP="0006199C">
      <w:pPr>
        <w:spacing w:after="0" w:line="240" w:lineRule="auto"/>
        <w:jc w:val="both"/>
        <w:rPr>
          <w:rFonts w:ascii="Century Gothic" w:hAnsi="Century Gothic"/>
        </w:rPr>
      </w:pPr>
      <w:r w:rsidRPr="003A55A1">
        <w:rPr>
          <w:rFonts w:ascii="Century Gothic" w:hAnsi="Century Gothic"/>
        </w:rPr>
        <w:t>En el mes de Diciembre de 2019 se pagó a PIXIS, S.A. DE C.V. est. 4 finiq, ampliación de red de distribución  de gas natural para área de restaurantes  y bares en las instalaciones  por la cantidad de 42,037.50 más IVA.</w:t>
      </w:r>
    </w:p>
    <w:p w:rsidR="0006199C" w:rsidRPr="003A55A1" w:rsidRDefault="0006199C" w:rsidP="0006199C">
      <w:pPr>
        <w:spacing w:after="0" w:line="240" w:lineRule="auto"/>
        <w:jc w:val="both"/>
        <w:rPr>
          <w:rFonts w:ascii="Century Gothic" w:hAnsi="Century Gothic"/>
        </w:rPr>
      </w:pPr>
    </w:p>
    <w:p w:rsidR="0006199C" w:rsidRPr="003A55A1" w:rsidRDefault="0006199C" w:rsidP="0006199C">
      <w:pPr>
        <w:spacing w:after="0" w:line="240" w:lineRule="auto"/>
        <w:jc w:val="both"/>
        <w:rPr>
          <w:rFonts w:ascii="Century Gothic" w:hAnsi="Century Gothic"/>
        </w:rPr>
      </w:pPr>
      <w:r w:rsidRPr="003A55A1">
        <w:rPr>
          <w:rFonts w:ascii="Century Gothic" w:hAnsi="Century Gothic"/>
        </w:rPr>
        <w:t xml:space="preserve">En el mes de Diciembre de 2019 se adquirió una  laptop  para jefatura de parque explora por la cantidad de $ 8,655.00 más IVA, equipo del programa espacio cardio seguro (compra de desfibriladores para el area  seguridad  por la cantidad de $ 350,000.00 más IVA., </w:t>
      </w:r>
      <w:r w:rsidRPr="003A55A1">
        <w:t xml:space="preserve"> </w:t>
      </w:r>
      <w:r w:rsidRPr="003A55A1">
        <w:rPr>
          <w:rFonts w:ascii="Century Gothic" w:hAnsi="Century Gothic"/>
        </w:rPr>
        <w:t>finiq. cámaras de circuito cerrado de tv para instalaciones del patronato de la feria para el área de seguridad  por la cantidad de $ 709,676.39 más IVA.</w:t>
      </w:r>
      <w:r w:rsidRPr="003A55A1">
        <w:t xml:space="preserve"> </w:t>
      </w:r>
      <w:r w:rsidRPr="003A55A1">
        <w:rPr>
          <w:rFonts w:ascii="Century Gothic" w:hAnsi="Century Gothic"/>
        </w:rPr>
        <w:t>equipo de cómputo  para el  área de control presupuestal por la cantidad de $ 9,450.00 más IVA.</w:t>
      </w:r>
      <w:r w:rsidRPr="003A55A1">
        <w:t xml:space="preserve">  Compra</w:t>
      </w:r>
      <w:r w:rsidRPr="003A55A1">
        <w:rPr>
          <w:rFonts w:ascii="Century Gothic" w:hAnsi="Century Gothic"/>
        </w:rPr>
        <w:t xml:space="preserve"> de caja fuerte para el área de taquillas  por la cantidad de $ 28,431.03 más IVA. Compra de laptop para el  área de seguridad   por la cantidad de $ 9,500.00 más IVA.</w:t>
      </w:r>
    </w:p>
    <w:p w:rsidR="0006199C" w:rsidRPr="003A55A1" w:rsidRDefault="0006199C" w:rsidP="00CA6770">
      <w:pPr>
        <w:jc w:val="both"/>
        <w:rPr>
          <w:rFonts w:ascii="Century Gothic" w:hAnsi="Century Gothic"/>
        </w:rPr>
      </w:pPr>
    </w:p>
    <w:p w:rsidR="00CE13A6" w:rsidRPr="003A55A1" w:rsidRDefault="00CE13A6" w:rsidP="00CA6770">
      <w:pPr>
        <w:jc w:val="both"/>
        <w:rPr>
          <w:rFonts w:ascii="Century Gothic" w:hAnsi="Century Gothic"/>
        </w:rPr>
      </w:pPr>
      <w:r w:rsidRPr="003A55A1">
        <w:rPr>
          <w:rFonts w:ascii="Century Gothic" w:hAnsi="Century Gothic"/>
        </w:rPr>
        <w:t>f) Otras circunstancias de carácter significativo que afecten el activo, tales como bienes en garantía, señalados en embargos, litigios, títulos de inversiones entregados en garantías, baja significativa del valor d</w:t>
      </w:r>
      <w:r w:rsidR="008B3A12" w:rsidRPr="003A55A1">
        <w:rPr>
          <w:rFonts w:ascii="Century Gothic" w:hAnsi="Century Gothic"/>
        </w:rPr>
        <w:t>e inversiones financieras, etc.</w:t>
      </w:r>
    </w:p>
    <w:p w:rsidR="00CE13A6" w:rsidRPr="003A55A1" w:rsidRDefault="00D90DED" w:rsidP="00A17FA9">
      <w:pPr>
        <w:pStyle w:val="Sinespaciado"/>
        <w:jc w:val="both"/>
        <w:rPr>
          <w:rFonts w:ascii="Century Gothic" w:hAnsi="Century Gothic"/>
        </w:rPr>
      </w:pPr>
      <w:r w:rsidRPr="003A55A1">
        <w:rPr>
          <w:rFonts w:ascii="Century Gothic" w:hAnsi="Century Gothic"/>
        </w:rPr>
        <w:t xml:space="preserve">El Patronato no tiene Otras circunstancias de carácter significativo que afecten su activo, tales como bienes en garantía, señalados en embargos, litigios, títulos de inversiones entregados en garantías, baja significativa del valor de inversiones financieras, etc., </w:t>
      </w:r>
      <w:r w:rsidR="00946FFF" w:rsidRPr="003A55A1">
        <w:rPr>
          <w:rFonts w:ascii="Century Gothic" w:hAnsi="Century Gothic"/>
        </w:rPr>
        <w:t xml:space="preserve">los  terrenos  sobre </w:t>
      </w:r>
      <w:r w:rsidR="00752D23" w:rsidRPr="003A55A1">
        <w:rPr>
          <w:rFonts w:ascii="Century Gothic" w:hAnsi="Century Gothic"/>
        </w:rPr>
        <w:t xml:space="preserve"> l</w:t>
      </w:r>
      <w:r w:rsidR="00946FFF" w:rsidRPr="003A55A1">
        <w:rPr>
          <w:rFonts w:ascii="Century Gothic" w:hAnsi="Century Gothic"/>
        </w:rPr>
        <w:t xml:space="preserve">os  que  están  </w:t>
      </w:r>
      <w:r w:rsidR="00946FFF" w:rsidRPr="003A55A1">
        <w:rPr>
          <w:rFonts w:ascii="Century Gothic" w:hAnsi="Century Gothic"/>
        </w:rPr>
        <w:lastRenderedPageBreak/>
        <w:t xml:space="preserve">construidos  los  inmuebles  son propiedad  del Municipio de  León y no  están  registrados  como </w:t>
      </w:r>
      <w:r w:rsidR="00752D23" w:rsidRPr="003A55A1">
        <w:rPr>
          <w:rFonts w:ascii="Century Gothic" w:hAnsi="Century Gothic"/>
        </w:rPr>
        <w:t>a</w:t>
      </w:r>
      <w:r w:rsidR="00946FFF" w:rsidRPr="003A55A1">
        <w:rPr>
          <w:rFonts w:ascii="Century Gothic" w:hAnsi="Century Gothic"/>
        </w:rPr>
        <w:t xml:space="preserve">ctivo  propiedad  del  Patronato,  las  construcciones en dichos terrenos de conformidad con la normatividad emitida por CONAC  están registradas como inmuebles no habitacionales  en el activo fijo. </w:t>
      </w:r>
      <w:r w:rsidR="00946FFF" w:rsidRPr="003A55A1">
        <w:rPr>
          <w:rFonts w:ascii="Century Gothic" w:hAnsi="Century Gothic"/>
        </w:rPr>
        <w:br/>
      </w:r>
    </w:p>
    <w:p w:rsidR="00CE13A6" w:rsidRPr="003A55A1" w:rsidRDefault="00CE13A6" w:rsidP="00CE13A6">
      <w:pPr>
        <w:pStyle w:val="Sinespaciado"/>
        <w:jc w:val="both"/>
        <w:rPr>
          <w:rFonts w:ascii="Century Gothic" w:hAnsi="Century Gothic"/>
        </w:rPr>
      </w:pPr>
      <w:r w:rsidRPr="003A55A1">
        <w:rPr>
          <w:rFonts w:ascii="Century Gothic" w:hAnsi="Century Gothic"/>
        </w:rPr>
        <w:t>g) Desmantelamiento de Activos, procedimientos, implicaciones, efectos contables:</w:t>
      </w:r>
    </w:p>
    <w:p w:rsidR="00CE13A6" w:rsidRPr="003A55A1" w:rsidRDefault="00CE13A6" w:rsidP="00CE13A6">
      <w:pPr>
        <w:pStyle w:val="Sinespaciado"/>
        <w:jc w:val="both"/>
        <w:rPr>
          <w:rFonts w:ascii="Century Gothic" w:hAnsi="Century Gothic"/>
        </w:rPr>
      </w:pPr>
    </w:p>
    <w:p w:rsidR="00CE13A6" w:rsidRPr="003A55A1" w:rsidRDefault="00D90DED" w:rsidP="009E2EE1">
      <w:pPr>
        <w:pStyle w:val="Sinespaciado"/>
        <w:ind w:firstLine="708"/>
        <w:jc w:val="both"/>
        <w:rPr>
          <w:rFonts w:ascii="Century Gothic" w:hAnsi="Century Gothic"/>
        </w:rPr>
      </w:pPr>
      <w:r w:rsidRPr="003A55A1">
        <w:rPr>
          <w:rFonts w:ascii="Century Gothic" w:hAnsi="Century Gothic"/>
        </w:rPr>
        <w:t>El Patronato no ha  realizado desmantelamiento de Activos.</w:t>
      </w:r>
    </w:p>
    <w:p w:rsidR="00D90DED" w:rsidRPr="003A55A1" w:rsidRDefault="00D90DED" w:rsidP="00CE13A6">
      <w:pPr>
        <w:pStyle w:val="Sinespaciado"/>
        <w:jc w:val="both"/>
        <w:rPr>
          <w:rFonts w:ascii="Century Gothic" w:hAnsi="Century Gothic"/>
        </w:rPr>
      </w:pPr>
    </w:p>
    <w:p w:rsidR="00CE13A6" w:rsidRPr="003A55A1" w:rsidRDefault="00CE13A6" w:rsidP="00CE13A6">
      <w:pPr>
        <w:pStyle w:val="Sinespaciado"/>
        <w:jc w:val="both"/>
        <w:rPr>
          <w:rFonts w:ascii="Century Gothic" w:hAnsi="Century Gothic"/>
        </w:rPr>
      </w:pPr>
      <w:r w:rsidRPr="003A55A1">
        <w:rPr>
          <w:rFonts w:ascii="Century Gothic" w:hAnsi="Century Gothic"/>
        </w:rPr>
        <w:t xml:space="preserve">h) Administración de activos; </w:t>
      </w:r>
    </w:p>
    <w:p w:rsidR="00CE13A6" w:rsidRPr="003A55A1" w:rsidRDefault="00CE13A6" w:rsidP="00CE13A6">
      <w:pPr>
        <w:pStyle w:val="Sinespaciado"/>
        <w:jc w:val="both"/>
        <w:rPr>
          <w:rFonts w:ascii="Century Gothic" w:hAnsi="Century Gothic"/>
        </w:rPr>
      </w:pPr>
    </w:p>
    <w:p w:rsidR="00CE13A6" w:rsidRPr="003A55A1" w:rsidRDefault="00370222" w:rsidP="00CE13A6">
      <w:pPr>
        <w:pStyle w:val="Sinespaciado"/>
        <w:jc w:val="both"/>
        <w:rPr>
          <w:rFonts w:ascii="Century Gothic" w:hAnsi="Century Gothic"/>
        </w:rPr>
      </w:pPr>
      <w:r w:rsidRPr="003A55A1">
        <w:rPr>
          <w:rFonts w:ascii="Century Gothic" w:hAnsi="Century Gothic"/>
        </w:rPr>
        <w:t>h.1</w:t>
      </w:r>
      <w:r w:rsidR="00CE13A6" w:rsidRPr="003A55A1">
        <w:rPr>
          <w:rFonts w:ascii="Century Gothic" w:hAnsi="Century Gothic"/>
        </w:rPr>
        <w:t>) Inversiones en valores:</w:t>
      </w:r>
    </w:p>
    <w:p w:rsidR="00CE13A6" w:rsidRPr="003A55A1" w:rsidRDefault="00CE13A6" w:rsidP="00CE13A6">
      <w:pPr>
        <w:pStyle w:val="Sinespaciado"/>
        <w:jc w:val="both"/>
        <w:rPr>
          <w:rFonts w:ascii="Century Gothic" w:hAnsi="Century Gothic"/>
        </w:rPr>
      </w:pPr>
    </w:p>
    <w:p w:rsidR="00637FBB" w:rsidRPr="003A55A1" w:rsidRDefault="00637FBB" w:rsidP="009E2EE1">
      <w:pPr>
        <w:pStyle w:val="Sinespaciado"/>
        <w:ind w:left="708"/>
        <w:jc w:val="both"/>
        <w:rPr>
          <w:rFonts w:ascii="Century Gothic" w:hAnsi="Century Gothic"/>
        </w:rPr>
      </w:pPr>
      <w:r w:rsidRPr="003A55A1">
        <w:rPr>
          <w:rFonts w:ascii="Century Gothic" w:hAnsi="Century Gothic"/>
        </w:rPr>
        <w:t>L</w:t>
      </w:r>
      <w:r w:rsidR="00370222" w:rsidRPr="003A55A1">
        <w:rPr>
          <w:rFonts w:ascii="Century Gothic" w:hAnsi="Century Gothic"/>
        </w:rPr>
        <w:t>os</w:t>
      </w:r>
      <w:r w:rsidRPr="003A55A1">
        <w:rPr>
          <w:rFonts w:ascii="Century Gothic" w:hAnsi="Century Gothic"/>
        </w:rPr>
        <w:t xml:space="preserve">  </w:t>
      </w:r>
      <w:r w:rsidR="00425B1A" w:rsidRPr="003A55A1">
        <w:rPr>
          <w:rFonts w:ascii="Century Gothic" w:hAnsi="Century Gothic"/>
        </w:rPr>
        <w:t>saldos a</w:t>
      </w:r>
      <w:r w:rsidR="0077750B" w:rsidRPr="003A55A1">
        <w:rPr>
          <w:rFonts w:ascii="Century Gothic" w:hAnsi="Century Gothic"/>
        </w:rPr>
        <w:t>l 31 de diciembre</w:t>
      </w:r>
      <w:r w:rsidR="00115C23" w:rsidRPr="003A55A1">
        <w:rPr>
          <w:rFonts w:ascii="Century Gothic" w:hAnsi="Century Gothic"/>
        </w:rPr>
        <w:t xml:space="preserve"> </w:t>
      </w:r>
      <w:r w:rsidR="008B3A12" w:rsidRPr="003A55A1">
        <w:rPr>
          <w:rFonts w:ascii="Century Gothic" w:hAnsi="Century Gothic"/>
        </w:rPr>
        <w:t>de 2</w:t>
      </w:r>
      <w:r w:rsidR="00327B2E" w:rsidRPr="003A55A1">
        <w:rPr>
          <w:rFonts w:ascii="Century Gothic" w:hAnsi="Century Gothic"/>
        </w:rPr>
        <w:t>018</w:t>
      </w:r>
      <w:r w:rsidR="00370222" w:rsidRPr="003A55A1">
        <w:rPr>
          <w:rFonts w:ascii="Century Gothic" w:hAnsi="Century Gothic"/>
        </w:rPr>
        <w:t xml:space="preserve"> y </w:t>
      </w:r>
      <w:r w:rsidR="0077750B" w:rsidRPr="003A55A1">
        <w:rPr>
          <w:rFonts w:ascii="Century Gothic" w:hAnsi="Century Gothic"/>
        </w:rPr>
        <w:t>31</w:t>
      </w:r>
      <w:r w:rsidR="00370222" w:rsidRPr="003A55A1">
        <w:rPr>
          <w:rFonts w:ascii="Century Gothic" w:hAnsi="Century Gothic"/>
        </w:rPr>
        <w:t xml:space="preserve"> de</w:t>
      </w:r>
      <w:r w:rsidR="008B3A12" w:rsidRPr="003A55A1">
        <w:rPr>
          <w:rFonts w:ascii="Century Gothic" w:hAnsi="Century Gothic"/>
        </w:rPr>
        <w:t xml:space="preserve"> </w:t>
      </w:r>
      <w:r w:rsidR="0077750B" w:rsidRPr="003A55A1">
        <w:rPr>
          <w:rFonts w:ascii="Century Gothic" w:hAnsi="Century Gothic"/>
        </w:rPr>
        <w:t>diciembre</w:t>
      </w:r>
      <w:r w:rsidR="00914791" w:rsidRPr="003A55A1">
        <w:rPr>
          <w:rFonts w:ascii="Century Gothic" w:hAnsi="Century Gothic"/>
        </w:rPr>
        <w:t xml:space="preserve"> </w:t>
      </w:r>
      <w:r w:rsidR="00370222" w:rsidRPr="003A55A1">
        <w:rPr>
          <w:rFonts w:ascii="Century Gothic" w:hAnsi="Century Gothic"/>
        </w:rPr>
        <w:t>de 201</w:t>
      </w:r>
      <w:r w:rsidR="00327B2E" w:rsidRPr="003A55A1">
        <w:rPr>
          <w:rFonts w:ascii="Century Gothic" w:hAnsi="Century Gothic"/>
        </w:rPr>
        <w:t>9</w:t>
      </w:r>
      <w:r w:rsidR="00370222" w:rsidRPr="003A55A1">
        <w:rPr>
          <w:rFonts w:ascii="Century Gothic" w:hAnsi="Century Gothic"/>
        </w:rPr>
        <w:t xml:space="preserve">, así como la  variación entre los saldos a las  fechas  mencionadas se muestran a continuación:  </w:t>
      </w:r>
      <w:r w:rsidRPr="003A55A1">
        <w:rPr>
          <w:rFonts w:ascii="Century Gothic" w:hAnsi="Century Gothic"/>
        </w:rPr>
        <w:t xml:space="preserve"> </w:t>
      </w:r>
    </w:p>
    <w:p w:rsidR="00637FBB" w:rsidRPr="003A55A1" w:rsidRDefault="00637FBB" w:rsidP="00CE13A6">
      <w:pPr>
        <w:pStyle w:val="Sinespaciado"/>
        <w:jc w:val="both"/>
        <w:rPr>
          <w:rFonts w:ascii="Century Gothic" w:hAnsi="Century Gothic"/>
        </w:rPr>
      </w:pPr>
    </w:p>
    <w:tbl>
      <w:tblPr>
        <w:tblW w:w="8080" w:type="dxa"/>
        <w:tblInd w:w="70" w:type="dxa"/>
        <w:tblCellMar>
          <w:left w:w="70" w:type="dxa"/>
          <w:right w:w="70" w:type="dxa"/>
        </w:tblCellMar>
        <w:tblLook w:val="04A0" w:firstRow="1" w:lastRow="0" w:firstColumn="1" w:lastColumn="0" w:noHBand="0" w:noVBand="1"/>
      </w:tblPr>
      <w:tblGrid>
        <w:gridCol w:w="3828"/>
        <w:gridCol w:w="1421"/>
        <w:gridCol w:w="1420"/>
        <w:gridCol w:w="1411"/>
      </w:tblGrid>
      <w:tr w:rsidR="00370222" w:rsidRPr="003A55A1" w:rsidTr="00370222">
        <w:trPr>
          <w:trHeight w:val="300"/>
        </w:trPr>
        <w:tc>
          <w:tcPr>
            <w:tcW w:w="3828" w:type="dxa"/>
            <w:tcBorders>
              <w:top w:val="nil"/>
              <w:left w:val="nil"/>
              <w:bottom w:val="nil"/>
              <w:right w:val="nil"/>
            </w:tcBorders>
            <w:shd w:val="clear" w:color="auto" w:fill="auto"/>
            <w:noWrap/>
            <w:vAlign w:val="bottom"/>
            <w:hideMark/>
          </w:tcPr>
          <w:p w:rsidR="00370222" w:rsidRPr="003A55A1" w:rsidRDefault="00370222" w:rsidP="00370222">
            <w:pPr>
              <w:spacing w:after="0" w:line="240" w:lineRule="auto"/>
              <w:rPr>
                <w:rFonts w:ascii="Times New Roman" w:eastAsia="Times New Roman" w:hAnsi="Times New Roman"/>
                <w:sz w:val="20"/>
                <w:szCs w:val="20"/>
                <w:lang w:val="es-MX" w:eastAsia="es-MX"/>
              </w:rPr>
            </w:pPr>
          </w:p>
        </w:tc>
        <w:tc>
          <w:tcPr>
            <w:tcW w:w="1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0222" w:rsidRPr="003A55A1" w:rsidRDefault="006F372D" w:rsidP="0077750B">
            <w:pPr>
              <w:spacing w:after="0" w:line="240" w:lineRule="auto"/>
              <w:jc w:val="center"/>
              <w:rPr>
                <w:rFonts w:eastAsia="Times New Roman"/>
                <w:color w:val="000000"/>
                <w:lang w:val="es-MX" w:eastAsia="es-MX"/>
              </w:rPr>
            </w:pPr>
            <w:r w:rsidRPr="003A55A1">
              <w:rPr>
                <w:rFonts w:eastAsia="Times New Roman"/>
                <w:color w:val="000000"/>
                <w:lang w:val="es-MX" w:eastAsia="es-MX"/>
              </w:rPr>
              <w:t>3</w:t>
            </w:r>
            <w:r w:rsidR="0077750B" w:rsidRPr="003A55A1">
              <w:rPr>
                <w:rFonts w:eastAsia="Times New Roman"/>
                <w:color w:val="000000"/>
                <w:lang w:val="es-MX" w:eastAsia="es-MX"/>
              </w:rPr>
              <w:t>1</w:t>
            </w:r>
            <w:r w:rsidR="00370222" w:rsidRPr="003A55A1">
              <w:rPr>
                <w:rFonts w:eastAsia="Times New Roman"/>
                <w:color w:val="000000"/>
                <w:lang w:val="es-MX" w:eastAsia="es-MX"/>
              </w:rPr>
              <w:t>-</w:t>
            </w:r>
            <w:r w:rsidR="0077750B" w:rsidRPr="003A55A1">
              <w:rPr>
                <w:rFonts w:eastAsia="Times New Roman"/>
                <w:color w:val="000000"/>
                <w:lang w:val="es-MX" w:eastAsia="es-MX"/>
              </w:rPr>
              <w:t>dic</w:t>
            </w:r>
            <w:r w:rsidR="00A17FA9" w:rsidRPr="003A55A1">
              <w:rPr>
                <w:rFonts w:eastAsia="Times New Roman"/>
                <w:color w:val="000000"/>
                <w:lang w:val="es-MX" w:eastAsia="es-MX"/>
              </w:rPr>
              <w:t>-</w:t>
            </w:r>
            <w:r w:rsidR="00370222" w:rsidRPr="003A55A1">
              <w:rPr>
                <w:rFonts w:eastAsia="Times New Roman"/>
                <w:color w:val="000000"/>
                <w:lang w:val="es-MX" w:eastAsia="es-MX"/>
              </w:rPr>
              <w:t>1</w:t>
            </w:r>
            <w:r w:rsidR="00FE52FC" w:rsidRPr="003A55A1">
              <w:rPr>
                <w:rFonts w:eastAsia="Times New Roman"/>
                <w:color w:val="000000"/>
                <w:lang w:val="es-MX" w:eastAsia="es-MX"/>
              </w:rPr>
              <w:t>8</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370222" w:rsidRPr="003A55A1" w:rsidRDefault="003C048A" w:rsidP="006F372D">
            <w:pPr>
              <w:spacing w:after="0" w:line="240" w:lineRule="auto"/>
              <w:jc w:val="center"/>
              <w:rPr>
                <w:rFonts w:eastAsia="Times New Roman"/>
                <w:color w:val="000000"/>
                <w:lang w:val="es-MX" w:eastAsia="es-MX"/>
              </w:rPr>
            </w:pPr>
            <w:r w:rsidRPr="003A55A1">
              <w:rPr>
                <w:rFonts w:eastAsia="Times New Roman"/>
                <w:color w:val="000000"/>
                <w:lang w:val="es-MX" w:eastAsia="es-MX"/>
              </w:rPr>
              <w:t>3</w:t>
            </w:r>
            <w:r w:rsidR="0077750B" w:rsidRPr="003A55A1">
              <w:rPr>
                <w:rFonts w:eastAsia="Times New Roman"/>
                <w:color w:val="000000"/>
                <w:lang w:val="es-MX" w:eastAsia="es-MX"/>
              </w:rPr>
              <w:t>1</w:t>
            </w:r>
            <w:r w:rsidR="00AF23AF" w:rsidRPr="003A55A1">
              <w:rPr>
                <w:rFonts w:eastAsia="Times New Roman"/>
                <w:color w:val="000000"/>
                <w:lang w:val="es-MX" w:eastAsia="es-MX"/>
              </w:rPr>
              <w:t>-</w:t>
            </w:r>
            <w:r w:rsidR="0077750B" w:rsidRPr="003A55A1">
              <w:rPr>
                <w:rFonts w:eastAsia="Times New Roman"/>
                <w:color w:val="000000"/>
                <w:lang w:val="es-MX" w:eastAsia="es-MX"/>
              </w:rPr>
              <w:t>dic</w:t>
            </w:r>
            <w:r w:rsidR="00370222" w:rsidRPr="003A55A1">
              <w:rPr>
                <w:rFonts w:eastAsia="Times New Roman"/>
                <w:color w:val="000000"/>
                <w:lang w:val="es-MX" w:eastAsia="es-MX"/>
              </w:rPr>
              <w:t>-1</w:t>
            </w:r>
            <w:r w:rsidR="00327B2E" w:rsidRPr="003A55A1">
              <w:rPr>
                <w:rFonts w:eastAsia="Times New Roman"/>
                <w:color w:val="000000"/>
                <w:lang w:val="es-MX" w:eastAsia="es-MX"/>
              </w:rPr>
              <w:t>9</w:t>
            </w:r>
          </w:p>
        </w:tc>
        <w:tc>
          <w:tcPr>
            <w:tcW w:w="1411" w:type="dxa"/>
            <w:tcBorders>
              <w:top w:val="single" w:sz="4" w:space="0" w:color="auto"/>
              <w:left w:val="nil"/>
              <w:bottom w:val="single" w:sz="4" w:space="0" w:color="auto"/>
              <w:right w:val="single" w:sz="4" w:space="0" w:color="auto"/>
            </w:tcBorders>
            <w:shd w:val="clear" w:color="auto" w:fill="auto"/>
            <w:noWrap/>
            <w:vAlign w:val="bottom"/>
            <w:hideMark/>
          </w:tcPr>
          <w:p w:rsidR="00370222" w:rsidRPr="003A55A1" w:rsidRDefault="00370222" w:rsidP="00370222">
            <w:pPr>
              <w:spacing w:after="0" w:line="240" w:lineRule="auto"/>
              <w:jc w:val="center"/>
              <w:rPr>
                <w:rFonts w:eastAsia="Times New Roman"/>
                <w:color w:val="000000"/>
                <w:lang w:val="es-MX" w:eastAsia="es-MX"/>
              </w:rPr>
            </w:pPr>
            <w:r w:rsidRPr="003A55A1">
              <w:rPr>
                <w:rFonts w:eastAsia="Times New Roman"/>
                <w:color w:val="000000"/>
                <w:lang w:val="es-MX" w:eastAsia="es-MX"/>
              </w:rPr>
              <w:t>Variación</w:t>
            </w:r>
          </w:p>
        </w:tc>
      </w:tr>
      <w:tr w:rsidR="00B30241" w:rsidRPr="003A55A1" w:rsidTr="00302A21">
        <w:trPr>
          <w:trHeight w:val="300"/>
        </w:trPr>
        <w:tc>
          <w:tcPr>
            <w:tcW w:w="3828" w:type="dxa"/>
            <w:tcBorders>
              <w:top w:val="nil"/>
              <w:left w:val="nil"/>
              <w:bottom w:val="nil"/>
              <w:right w:val="nil"/>
            </w:tcBorders>
            <w:shd w:val="clear" w:color="auto" w:fill="auto"/>
            <w:noWrap/>
            <w:vAlign w:val="bottom"/>
            <w:hideMark/>
          </w:tcPr>
          <w:p w:rsidR="00370222" w:rsidRPr="003A55A1" w:rsidRDefault="00370222" w:rsidP="00370222">
            <w:pPr>
              <w:spacing w:after="0" w:line="240" w:lineRule="auto"/>
              <w:rPr>
                <w:rFonts w:eastAsia="Times New Roman"/>
                <w:color w:val="000000"/>
                <w:lang w:val="es-MX" w:eastAsia="es-MX"/>
              </w:rPr>
            </w:pPr>
            <w:r w:rsidRPr="003A55A1">
              <w:rPr>
                <w:rFonts w:eastAsia="Times New Roman"/>
                <w:color w:val="000000"/>
                <w:lang w:val="es-MX" w:eastAsia="es-MX"/>
              </w:rPr>
              <w:t>Inversiones Temporales (Hasta 3 meses)</w:t>
            </w:r>
          </w:p>
        </w:tc>
        <w:tc>
          <w:tcPr>
            <w:tcW w:w="1421" w:type="dxa"/>
            <w:tcBorders>
              <w:top w:val="nil"/>
              <w:left w:val="nil"/>
              <w:bottom w:val="nil"/>
              <w:right w:val="nil"/>
            </w:tcBorders>
            <w:shd w:val="clear" w:color="auto" w:fill="auto"/>
            <w:noWrap/>
            <w:vAlign w:val="bottom"/>
          </w:tcPr>
          <w:p w:rsidR="00370222" w:rsidRPr="003A55A1" w:rsidRDefault="0077750B" w:rsidP="004238BC">
            <w:pPr>
              <w:spacing w:after="0" w:line="240" w:lineRule="auto"/>
              <w:rPr>
                <w:rFonts w:eastAsia="Times New Roman"/>
                <w:color w:val="000000"/>
                <w:sz w:val="20"/>
                <w:szCs w:val="20"/>
                <w:lang w:val="es-MX" w:eastAsia="es-MX"/>
              </w:rPr>
            </w:pPr>
            <w:r w:rsidRPr="003A55A1">
              <w:rPr>
                <w:rFonts w:eastAsia="Times New Roman"/>
                <w:color w:val="000000"/>
                <w:sz w:val="20"/>
                <w:szCs w:val="20"/>
                <w:lang w:val="es-MX" w:eastAsia="es-MX"/>
              </w:rPr>
              <w:t>49,282,749.73</w:t>
            </w:r>
          </w:p>
        </w:tc>
        <w:tc>
          <w:tcPr>
            <w:tcW w:w="1420" w:type="dxa"/>
            <w:tcBorders>
              <w:top w:val="nil"/>
              <w:left w:val="single" w:sz="4" w:space="0" w:color="C0C0C0"/>
              <w:bottom w:val="single" w:sz="4" w:space="0" w:color="C0C0C0"/>
              <w:right w:val="single" w:sz="4" w:space="0" w:color="C0C0C0"/>
            </w:tcBorders>
            <w:shd w:val="clear" w:color="000000" w:fill="FFFFFF"/>
            <w:noWrap/>
          </w:tcPr>
          <w:p w:rsidR="00370222" w:rsidRPr="003A55A1" w:rsidRDefault="0077750B" w:rsidP="003A5CBF">
            <w:pPr>
              <w:spacing w:after="0" w:line="240" w:lineRule="auto"/>
              <w:jc w:val="right"/>
              <w:rPr>
                <w:rFonts w:eastAsia="Times New Roman" w:cs="Arial"/>
                <w:color w:val="000000"/>
                <w:sz w:val="20"/>
                <w:szCs w:val="20"/>
                <w:lang w:val="es-MX" w:eastAsia="es-MX"/>
              </w:rPr>
            </w:pPr>
            <w:r w:rsidRPr="003A55A1">
              <w:rPr>
                <w:rFonts w:eastAsia="Times New Roman" w:cs="Arial"/>
                <w:color w:val="000000"/>
                <w:sz w:val="20"/>
                <w:szCs w:val="20"/>
                <w:lang w:val="es-MX" w:eastAsia="es-MX"/>
              </w:rPr>
              <w:t>62,608,809.33</w:t>
            </w:r>
          </w:p>
        </w:tc>
        <w:tc>
          <w:tcPr>
            <w:tcW w:w="1411" w:type="dxa"/>
            <w:tcBorders>
              <w:top w:val="nil"/>
              <w:left w:val="nil"/>
              <w:bottom w:val="nil"/>
              <w:right w:val="nil"/>
            </w:tcBorders>
            <w:shd w:val="clear" w:color="auto" w:fill="auto"/>
            <w:noWrap/>
            <w:vAlign w:val="bottom"/>
          </w:tcPr>
          <w:p w:rsidR="00370222" w:rsidRPr="003A55A1" w:rsidRDefault="0077750B" w:rsidP="00103575">
            <w:pPr>
              <w:spacing w:after="0" w:line="240" w:lineRule="auto"/>
              <w:rPr>
                <w:rFonts w:eastAsia="Times New Roman"/>
                <w:color w:val="000000"/>
                <w:sz w:val="20"/>
                <w:szCs w:val="20"/>
                <w:lang w:val="es-MX" w:eastAsia="es-MX"/>
              </w:rPr>
            </w:pPr>
            <w:r w:rsidRPr="003A55A1">
              <w:rPr>
                <w:rFonts w:eastAsia="Times New Roman"/>
                <w:color w:val="000000"/>
                <w:sz w:val="20"/>
                <w:szCs w:val="20"/>
                <w:lang w:val="es-MX" w:eastAsia="es-MX"/>
              </w:rPr>
              <w:t>13,326,059.60</w:t>
            </w:r>
          </w:p>
        </w:tc>
      </w:tr>
    </w:tbl>
    <w:p w:rsidR="00370222" w:rsidRPr="003A55A1" w:rsidRDefault="00370222" w:rsidP="00CE13A6">
      <w:pPr>
        <w:pStyle w:val="Sinespaciado"/>
        <w:jc w:val="both"/>
        <w:rPr>
          <w:rFonts w:ascii="Century Gothic" w:hAnsi="Century Gothic"/>
        </w:rPr>
      </w:pPr>
    </w:p>
    <w:p w:rsidR="00CE13A6" w:rsidRPr="003A55A1" w:rsidRDefault="00802831" w:rsidP="009E2EE1">
      <w:pPr>
        <w:pStyle w:val="Sinespaciado"/>
        <w:ind w:left="708"/>
        <w:jc w:val="both"/>
        <w:rPr>
          <w:rFonts w:ascii="Century Gothic" w:hAnsi="Century Gothic"/>
        </w:rPr>
      </w:pPr>
      <w:r w:rsidRPr="003A55A1">
        <w:rPr>
          <w:rFonts w:ascii="Century Gothic" w:hAnsi="Century Gothic"/>
        </w:rPr>
        <w:t xml:space="preserve">En los meses </w:t>
      </w:r>
      <w:r w:rsidR="00E078CF" w:rsidRPr="003A55A1">
        <w:rPr>
          <w:rFonts w:ascii="Century Gothic" w:hAnsi="Century Gothic"/>
        </w:rPr>
        <w:t xml:space="preserve">en el ejercicio previo  al  de realización de  la  Feria </w:t>
      </w:r>
      <w:r w:rsidRPr="003A55A1">
        <w:rPr>
          <w:rFonts w:ascii="Century Gothic" w:hAnsi="Century Gothic"/>
        </w:rPr>
        <w:t>y d</w:t>
      </w:r>
      <w:r w:rsidR="00286300" w:rsidRPr="003A55A1">
        <w:rPr>
          <w:rFonts w:ascii="Century Gothic" w:hAnsi="Century Gothic"/>
        </w:rPr>
        <w:t>urante  la  temporada  de  Feria  el  Patronato  recauda  recursos  mismos  que  se  utilizan en los  meses siguientes  para financiar  el gasto  de  oper</w:t>
      </w:r>
      <w:r w:rsidR="007C67DE" w:rsidRPr="003A55A1">
        <w:rPr>
          <w:rFonts w:ascii="Century Gothic" w:hAnsi="Century Gothic"/>
        </w:rPr>
        <w:t>ación e  inversión en  activo no circulante</w:t>
      </w:r>
      <w:r w:rsidR="00286300" w:rsidRPr="003A55A1">
        <w:rPr>
          <w:rFonts w:ascii="Century Gothic" w:hAnsi="Century Gothic"/>
        </w:rPr>
        <w:t xml:space="preserve">, al </w:t>
      </w:r>
      <w:r w:rsidR="0077750B" w:rsidRPr="003A55A1">
        <w:rPr>
          <w:rFonts w:ascii="Century Gothic" w:hAnsi="Century Gothic"/>
        </w:rPr>
        <w:t>31</w:t>
      </w:r>
      <w:r w:rsidR="00611971" w:rsidRPr="003A55A1">
        <w:rPr>
          <w:rFonts w:ascii="Century Gothic" w:hAnsi="Century Gothic"/>
        </w:rPr>
        <w:t xml:space="preserve"> </w:t>
      </w:r>
      <w:r w:rsidR="0077750B" w:rsidRPr="003A55A1">
        <w:rPr>
          <w:rFonts w:ascii="Century Gothic" w:hAnsi="Century Gothic"/>
        </w:rPr>
        <w:t>de diciembre</w:t>
      </w:r>
      <w:r w:rsidR="006524C4" w:rsidRPr="003A55A1">
        <w:rPr>
          <w:rFonts w:ascii="Century Gothic" w:hAnsi="Century Gothic"/>
        </w:rPr>
        <w:t xml:space="preserve"> </w:t>
      </w:r>
      <w:r w:rsidR="007B6BC1" w:rsidRPr="003A55A1">
        <w:rPr>
          <w:rFonts w:ascii="Century Gothic" w:hAnsi="Century Gothic"/>
        </w:rPr>
        <w:t xml:space="preserve"> </w:t>
      </w:r>
      <w:r w:rsidR="00286300" w:rsidRPr="003A55A1">
        <w:rPr>
          <w:rFonts w:ascii="Century Gothic" w:hAnsi="Century Gothic"/>
        </w:rPr>
        <w:t>de 201</w:t>
      </w:r>
      <w:r w:rsidR="00D20256" w:rsidRPr="003A55A1">
        <w:rPr>
          <w:rFonts w:ascii="Century Gothic" w:hAnsi="Century Gothic"/>
        </w:rPr>
        <w:t>9</w:t>
      </w:r>
      <w:r w:rsidR="00286300" w:rsidRPr="003A55A1">
        <w:rPr>
          <w:rFonts w:ascii="Century Gothic" w:hAnsi="Century Gothic"/>
        </w:rPr>
        <w:t xml:space="preserve"> aún se  tienen recursos  disponibles  para  financiar  lo  ya  comentado.</w:t>
      </w:r>
    </w:p>
    <w:p w:rsidR="00286300" w:rsidRPr="003A55A1" w:rsidRDefault="00286300" w:rsidP="00CE13A6">
      <w:pPr>
        <w:pStyle w:val="Sinespaciado"/>
        <w:jc w:val="both"/>
        <w:rPr>
          <w:rFonts w:ascii="Century Gothic" w:hAnsi="Century Gothic"/>
        </w:rPr>
      </w:pPr>
    </w:p>
    <w:p w:rsidR="00CE13A6" w:rsidRPr="003A55A1" w:rsidRDefault="00370222" w:rsidP="00CE13A6">
      <w:pPr>
        <w:pStyle w:val="Sinespaciado"/>
        <w:jc w:val="both"/>
        <w:rPr>
          <w:rFonts w:ascii="Century Gothic" w:hAnsi="Century Gothic"/>
        </w:rPr>
      </w:pPr>
      <w:r w:rsidRPr="003A55A1">
        <w:rPr>
          <w:rFonts w:ascii="Century Gothic" w:hAnsi="Century Gothic"/>
        </w:rPr>
        <w:t>h.2</w:t>
      </w:r>
      <w:r w:rsidR="00CE13A6" w:rsidRPr="003A55A1">
        <w:rPr>
          <w:rFonts w:ascii="Century Gothic" w:hAnsi="Century Gothic"/>
        </w:rPr>
        <w:t>) Patrimonio de Organismos descentralizados de Control Presupuestario Indirecto:</w:t>
      </w:r>
    </w:p>
    <w:p w:rsidR="00CE13A6" w:rsidRPr="003A55A1" w:rsidRDefault="00CE13A6" w:rsidP="00CE13A6">
      <w:pPr>
        <w:pStyle w:val="Sinespaciado"/>
        <w:jc w:val="both"/>
        <w:rPr>
          <w:rFonts w:ascii="Century Gothic" w:hAnsi="Century Gothic"/>
        </w:rPr>
      </w:pPr>
    </w:p>
    <w:p w:rsidR="00CE13A6" w:rsidRPr="003A55A1" w:rsidRDefault="00286300" w:rsidP="009E2EE1">
      <w:pPr>
        <w:pStyle w:val="Sinespaciado"/>
        <w:ind w:left="708"/>
        <w:jc w:val="both"/>
        <w:rPr>
          <w:rFonts w:ascii="Century Gothic" w:hAnsi="Century Gothic"/>
        </w:rPr>
      </w:pPr>
      <w:r w:rsidRPr="003A55A1">
        <w:rPr>
          <w:rFonts w:ascii="Century Gothic" w:hAnsi="Century Gothic"/>
        </w:rPr>
        <w:t>El Patronato no tiene Patrimonio de Organismos descentralizados de Control Presupuestario Indirecto.</w:t>
      </w:r>
    </w:p>
    <w:p w:rsidR="00CE13A6" w:rsidRPr="003A55A1" w:rsidRDefault="00CE13A6" w:rsidP="00CE13A6">
      <w:pPr>
        <w:pStyle w:val="Sinespaciado"/>
        <w:jc w:val="both"/>
        <w:rPr>
          <w:rFonts w:ascii="Century Gothic" w:hAnsi="Century Gothic"/>
        </w:rPr>
      </w:pPr>
    </w:p>
    <w:p w:rsidR="00CE13A6" w:rsidRPr="003A55A1" w:rsidRDefault="00370222" w:rsidP="00CE13A6">
      <w:pPr>
        <w:pStyle w:val="Sinespaciado"/>
        <w:jc w:val="both"/>
        <w:rPr>
          <w:rFonts w:ascii="Century Gothic" w:hAnsi="Century Gothic"/>
        </w:rPr>
      </w:pPr>
      <w:r w:rsidRPr="003A55A1">
        <w:rPr>
          <w:rFonts w:ascii="Century Gothic" w:hAnsi="Century Gothic"/>
        </w:rPr>
        <w:t>h.3</w:t>
      </w:r>
      <w:r w:rsidR="00CE13A6" w:rsidRPr="003A55A1">
        <w:rPr>
          <w:rFonts w:ascii="Century Gothic" w:hAnsi="Century Gothic"/>
        </w:rPr>
        <w:t>) Inversiones en empresas de participación mayoritaria:</w:t>
      </w:r>
    </w:p>
    <w:p w:rsidR="00CE13A6" w:rsidRPr="003A55A1" w:rsidRDefault="00CE13A6" w:rsidP="00CE13A6">
      <w:pPr>
        <w:pStyle w:val="Sinespaciado"/>
        <w:jc w:val="both"/>
        <w:rPr>
          <w:rFonts w:ascii="Century Gothic" w:hAnsi="Century Gothic"/>
        </w:rPr>
      </w:pPr>
    </w:p>
    <w:p w:rsidR="00CE13A6" w:rsidRPr="003A55A1" w:rsidRDefault="00286300" w:rsidP="009E2EE1">
      <w:pPr>
        <w:pStyle w:val="Sinespaciado"/>
        <w:ind w:left="708"/>
        <w:jc w:val="both"/>
        <w:rPr>
          <w:rFonts w:ascii="Century Gothic" w:hAnsi="Century Gothic"/>
        </w:rPr>
      </w:pPr>
      <w:r w:rsidRPr="003A55A1">
        <w:rPr>
          <w:rFonts w:ascii="Century Gothic" w:hAnsi="Century Gothic"/>
        </w:rPr>
        <w:t>El Patronato no tiene Inversiones en empresas de participación mayoritaria</w:t>
      </w:r>
    </w:p>
    <w:p w:rsidR="00286300" w:rsidRPr="003A55A1" w:rsidRDefault="00286300" w:rsidP="00CE13A6">
      <w:pPr>
        <w:pStyle w:val="Sinespaciado"/>
        <w:jc w:val="both"/>
        <w:rPr>
          <w:rFonts w:ascii="Century Gothic" w:hAnsi="Century Gothic"/>
        </w:rPr>
      </w:pPr>
    </w:p>
    <w:p w:rsidR="00CE13A6" w:rsidRPr="003A55A1" w:rsidRDefault="00370222" w:rsidP="00CE13A6">
      <w:pPr>
        <w:pStyle w:val="Sinespaciado"/>
        <w:jc w:val="both"/>
        <w:rPr>
          <w:rFonts w:ascii="Century Gothic" w:hAnsi="Century Gothic"/>
        </w:rPr>
      </w:pPr>
      <w:r w:rsidRPr="003A55A1">
        <w:rPr>
          <w:rFonts w:ascii="Century Gothic" w:hAnsi="Century Gothic"/>
        </w:rPr>
        <w:t>h.4</w:t>
      </w:r>
      <w:r w:rsidR="00CE13A6" w:rsidRPr="003A55A1">
        <w:rPr>
          <w:rFonts w:ascii="Century Gothic" w:hAnsi="Century Gothic"/>
        </w:rPr>
        <w:t>) Inversiones en empresas de participación minoritaria:</w:t>
      </w:r>
    </w:p>
    <w:p w:rsidR="00CE13A6" w:rsidRPr="003A55A1" w:rsidRDefault="00CE13A6" w:rsidP="00CE13A6">
      <w:pPr>
        <w:pStyle w:val="Sinespaciado"/>
        <w:jc w:val="both"/>
        <w:rPr>
          <w:rFonts w:ascii="Century Gothic" w:hAnsi="Century Gothic"/>
        </w:rPr>
      </w:pPr>
    </w:p>
    <w:p w:rsidR="00286300" w:rsidRPr="003A55A1" w:rsidRDefault="00286300" w:rsidP="009E2EE1">
      <w:pPr>
        <w:pStyle w:val="Sinespaciado"/>
        <w:ind w:left="708"/>
        <w:jc w:val="both"/>
        <w:rPr>
          <w:rFonts w:ascii="Century Gothic" w:hAnsi="Century Gothic"/>
        </w:rPr>
      </w:pPr>
      <w:r w:rsidRPr="003A55A1">
        <w:rPr>
          <w:rFonts w:ascii="Century Gothic" w:hAnsi="Century Gothic"/>
        </w:rPr>
        <w:t>El Patronato tiene  inversión  en el patrimonio de</w:t>
      </w:r>
      <w:r w:rsidR="009E2EE1" w:rsidRPr="003A55A1">
        <w:rPr>
          <w:rFonts w:ascii="Century Gothic" w:hAnsi="Century Gothic"/>
        </w:rPr>
        <w:t xml:space="preserve">l Fideicomiso Poliforum  como sigue: </w:t>
      </w:r>
      <w:r w:rsidRPr="003A55A1">
        <w:rPr>
          <w:rFonts w:ascii="Century Gothic" w:hAnsi="Century Gothic"/>
        </w:rPr>
        <w:t xml:space="preserve"> </w:t>
      </w:r>
    </w:p>
    <w:p w:rsidR="00286300" w:rsidRPr="003A55A1" w:rsidRDefault="00286300" w:rsidP="00CE13A6">
      <w:pPr>
        <w:pStyle w:val="Sinespaciado"/>
        <w:jc w:val="both"/>
        <w:rPr>
          <w:rFonts w:ascii="Century Gothic" w:hAnsi="Century Gothic"/>
        </w:rPr>
      </w:pPr>
    </w:p>
    <w:tbl>
      <w:tblPr>
        <w:tblW w:w="6914" w:type="dxa"/>
        <w:tblInd w:w="921" w:type="dxa"/>
        <w:tblCellMar>
          <w:left w:w="70" w:type="dxa"/>
          <w:right w:w="70" w:type="dxa"/>
        </w:tblCellMar>
        <w:tblLook w:val="04A0" w:firstRow="1" w:lastRow="0" w:firstColumn="1" w:lastColumn="0" w:noHBand="0" w:noVBand="1"/>
      </w:tblPr>
      <w:tblGrid>
        <w:gridCol w:w="5474"/>
        <w:gridCol w:w="1440"/>
      </w:tblGrid>
      <w:tr w:rsidR="00286300" w:rsidRPr="003A55A1" w:rsidTr="009E2EE1">
        <w:trPr>
          <w:trHeight w:val="402"/>
        </w:trPr>
        <w:tc>
          <w:tcPr>
            <w:tcW w:w="5474" w:type="dxa"/>
            <w:tcBorders>
              <w:top w:val="single" w:sz="4" w:space="0" w:color="C0C0C0"/>
              <w:left w:val="single" w:sz="4" w:space="0" w:color="C0C0C0"/>
              <w:bottom w:val="single" w:sz="4" w:space="0" w:color="C0C0C0"/>
              <w:right w:val="single" w:sz="4" w:space="0" w:color="C0C0C0"/>
            </w:tcBorders>
            <w:shd w:val="clear" w:color="000000" w:fill="FFFFFF"/>
            <w:noWrap/>
            <w:hideMark/>
          </w:tcPr>
          <w:p w:rsidR="00286300" w:rsidRPr="003A55A1" w:rsidRDefault="00286300" w:rsidP="00286300">
            <w:pPr>
              <w:spacing w:after="0" w:line="240" w:lineRule="auto"/>
              <w:rPr>
                <w:rFonts w:ascii="Arial" w:eastAsia="Times New Roman" w:hAnsi="Arial" w:cs="Arial"/>
                <w:color w:val="000000"/>
                <w:sz w:val="20"/>
                <w:szCs w:val="20"/>
                <w:lang w:val="es-MX" w:eastAsia="es-MX"/>
              </w:rPr>
            </w:pPr>
            <w:r w:rsidRPr="003A55A1">
              <w:rPr>
                <w:rFonts w:ascii="Arial" w:eastAsia="Times New Roman" w:hAnsi="Arial" w:cs="Arial"/>
                <w:color w:val="000000"/>
                <w:sz w:val="20"/>
                <w:szCs w:val="20"/>
                <w:lang w:val="es-MX" w:eastAsia="es-MX"/>
              </w:rPr>
              <w:t>APORTACIONES A POLIFORUM</w:t>
            </w:r>
          </w:p>
        </w:tc>
        <w:tc>
          <w:tcPr>
            <w:tcW w:w="1440" w:type="dxa"/>
            <w:tcBorders>
              <w:top w:val="single" w:sz="4" w:space="0" w:color="C0C0C0"/>
              <w:left w:val="nil"/>
              <w:bottom w:val="single" w:sz="4" w:space="0" w:color="C0C0C0"/>
              <w:right w:val="single" w:sz="4" w:space="0" w:color="C0C0C0"/>
            </w:tcBorders>
            <w:shd w:val="clear" w:color="000000" w:fill="FFFFFF"/>
            <w:noWrap/>
            <w:hideMark/>
          </w:tcPr>
          <w:p w:rsidR="00286300" w:rsidRPr="003A55A1" w:rsidRDefault="00286300" w:rsidP="00286300">
            <w:pPr>
              <w:spacing w:after="0" w:line="240" w:lineRule="auto"/>
              <w:jc w:val="right"/>
              <w:rPr>
                <w:rFonts w:ascii="Arial" w:eastAsia="Times New Roman" w:hAnsi="Arial" w:cs="Arial"/>
                <w:color w:val="000000"/>
                <w:sz w:val="20"/>
                <w:szCs w:val="20"/>
                <w:lang w:val="es-MX" w:eastAsia="es-MX"/>
              </w:rPr>
            </w:pPr>
            <w:r w:rsidRPr="003A55A1">
              <w:rPr>
                <w:rFonts w:ascii="Arial" w:eastAsia="Times New Roman" w:hAnsi="Arial" w:cs="Arial"/>
                <w:color w:val="000000"/>
                <w:sz w:val="20"/>
                <w:szCs w:val="20"/>
                <w:lang w:val="es-MX" w:eastAsia="es-MX"/>
              </w:rPr>
              <w:t>2,514,077.21</w:t>
            </w:r>
          </w:p>
        </w:tc>
      </w:tr>
    </w:tbl>
    <w:p w:rsidR="00CE13A6" w:rsidRPr="003A55A1" w:rsidRDefault="00286300" w:rsidP="00CE13A6">
      <w:pPr>
        <w:pStyle w:val="Sinespaciado"/>
        <w:jc w:val="both"/>
        <w:rPr>
          <w:rFonts w:ascii="Century Gothic" w:hAnsi="Century Gothic"/>
        </w:rPr>
      </w:pPr>
      <w:r w:rsidRPr="003A55A1">
        <w:rPr>
          <w:rFonts w:ascii="Century Gothic" w:hAnsi="Century Gothic"/>
        </w:rPr>
        <w:t xml:space="preserve"> </w:t>
      </w:r>
    </w:p>
    <w:p w:rsidR="00CE13A6" w:rsidRPr="003A55A1" w:rsidRDefault="00370222" w:rsidP="00CE13A6">
      <w:pPr>
        <w:pStyle w:val="Sinespaciado"/>
        <w:jc w:val="both"/>
        <w:rPr>
          <w:rFonts w:ascii="Century Gothic" w:hAnsi="Century Gothic"/>
        </w:rPr>
      </w:pPr>
      <w:r w:rsidRPr="003A55A1">
        <w:rPr>
          <w:rFonts w:ascii="Century Gothic" w:hAnsi="Century Gothic"/>
        </w:rPr>
        <w:t>h.5</w:t>
      </w:r>
      <w:r w:rsidR="00CE13A6" w:rsidRPr="003A55A1">
        <w:rPr>
          <w:rFonts w:ascii="Century Gothic" w:hAnsi="Century Gothic"/>
        </w:rPr>
        <w:t>) Patrimonio de organismos descentralizados de control presupuestario directo, según corresponda:</w:t>
      </w:r>
    </w:p>
    <w:p w:rsidR="00CE13A6" w:rsidRPr="003A55A1" w:rsidRDefault="00CE13A6" w:rsidP="00CE13A6">
      <w:pPr>
        <w:pStyle w:val="Sinespaciado"/>
        <w:jc w:val="both"/>
        <w:rPr>
          <w:rFonts w:ascii="Century Gothic" w:hAnsi="Century Gothic"/>
        </w:rPr>
      </w:pPr>
    </w:p>
    <w:p w:rsidR="00CE13A6" w:rsidRPr="003A55A1" w:rsidRDefault="009E2EE1" w:rsidP="009E2EE1">
      <w:pPr>
        <w:pStyle w:val="Sinespaciado"/>
        <w:ind w:left="708"/>
        <w:jc w:val="both"/>
        <w:rPr>
          <w:rFonts w:ascii="Century Gothic" w:hAnsi="Century Gothic"/>
        </w:rPr>
      </w:pPr>
      <w:r w:rsidRPr="003A55A1">
        <w:rPr>
          <w:rFonts w:ascii="Century Gothic" w:hAnsi="Century Gothic"/>
        </w:rPr>
        <w:t>El Patronato no tiene Patrimonio de organismos descentralizados de control presupuestario directo</w:t>
      </w:r>
    </w:p>
    <w:p w:rsidR="00CE13A6" w:rsidRPr="003A55A1" w:rsidRDefault="00CE13A6" w:rsidP="00CE13A6">
      <w:pPr>
        <w:pStyle w:val="Sinespaciado"/>
        <w:jc w:val="both"/>
        <w:rPr>
          <w:rFonts w:ascii="Century Gothic" w:hAnsi="Century Gothic"/>
        </w:rPr>
      </w:pPr>
    </w:p>
    <w:p w:rsidR="00CE13A6" w:rsidRPr="003A55A1" w:rsidRDefault="00CE13A6" w:rsidP="00CE13A6">
      <w:pPr>
        <w:pStyle w:val="Sinespaciado"/>
        <w:jc w:val="both"/>
        <w:rPr>
          <w:rFonts w:ascii="Century Gothic" w:hAnsi="Century Gothic"/>
          <w:b/>
          <w:u w:val="single"/>
        </w:rPr>
      </w:pPr>
      <w:r w:rsidRPr="003A55A1">
        <w:rPr>
          <w:rFonts w:ascii="Century Gothic" w:hAnsi="Century Gothic"/>
          <w:b/>
          <w:u w:val="single"/>
        </w:rPr>
        <w:t>9. Fideicomisos, Mandatos y Análogos</w:t>
      </w:r>
      <w:r w:rsidR="009E2EE1" w:rsidRPr="003A55A1">
        <w:rPr>
          <w:rFonts w:ascii="Century Gothic" w:hAnsi="Century Gothic"/>
          <w:b/>
        </w:rPr>
        <w:t>-</w:t>
      </w:r>
    </w:p>
    <w:p w:rsidR="00CE13A6" w:rsidRPr="003A55A1" w:rsidRDefault="00CE13A6" w:rsidP="00CE13A6">
      <w:pPr>
        <w:pStyle w:val="Sinespaciado"/>
        <w:jc w:val="both"/>
        <w:rPr>
          <w:rFonts w:ascii="Century Gothic" w:hAnsi="Century Gothic"/>
        </w:rPr>
      </w:pPr>
    </w:p>
    <w:p w:rsidR="00CE13A6" w:rsidRPr="003A55A1" w:rsidRDefault="009E2EE1" w:rsidP="00CE13A6">
      <w:pPr>
        <w:pStyle w:val="Sinespaciado"/>
        <w:jc w:val="both"/>
        <w:rPr>
          <w:rFonts w:ascii="Century Gothic" w:hAnsi="Century Gothic"/>
        </w:rPr>
      </w:pPr>
      <w:r w:rsidRPr="003A55A1">
        <w:rPr>
          <w:rFonts w:ascii="Century Gothic" w:hAnsi="Century Gothic"/>
        </w:rPr>
        <w:t>El Patronato no maneja  Fideicomisos y análogos.</w:t>
      </w:r>
    </w:p>
    <w:p w:rsidR="00CE13A6" w:rsidRPr="003A55A1" w:rsidRDefault="00CE13A6" w:rsidP="00CE13A6">
      <w:pPr>
        <w:pStyle w:val="Sinespaciado"/>
        <w:jc w:val="both"/>
        <w:rPr>
          <w:rFonts w:ascii="Century Gothic" w:hAnsi="Century Gothic"/>
        </w:rPr>
      </w:pPr>
    </w:p>
    <w:p w:rsidR="00CE13A6" w:rsidRPr="003A55A1" w:rsidRDefault="00CE13A6" w:rsidP="00CE13A6">
      <w:pPr>
        <w:pStyle w:val="Sinespaciado"/>
        <w:jc w:val="both"/>
        <w:rPr>
          <w:rFonts w:ascii="Century Gothic" w:hAnsi="Century Gothic"/>
          <w:b/>
          <w:u w:val="single"/>
        </w:rPr>
      </w:pPr>
      <w:r w:rsidRPr="003A55A1">
        <w:rPr>
          <w:rFonts w:ascii="Century Gothic" w:hAnsi="Century Gothic"/>
          <w:b/>
          <w:u w:val="single"/>
        </w:rPr>
        <w:t>10. Reporte de la Recaudación:</w:t>
      </w:r>
    </w:p>
    <w:p w:rsidR="00CE13A6" w:rsidRPr="003A55A1" w:rsidRDefault="00CE13A6" w:rsidP="00CE13A6">
      <w:pPr>
        <w:pStyle w:val="Sinespaciado"/>
        <w:jc w:val="both"/>
        <w:rPr>
          <w:rFonts w:ascii="Century Gothic" w:hAnsi="Century Gothic"/>
        </w:rPr>
      </w:pPr>
    </w:p>
    <w:p w:rsidR="00337357" w:rsidRPr="003A55A1" w:rsidRDefault="00CE13A6" w:rsidP="00CE13A6">
      <w:pPr>
        <w:pStyle w:val="Sinespaciado"/>
        <w:jc w:val="both"/>
        <w:rPr>
          <w:rFonts w:ascii="Century Gothic" w:hAnsi="Century Gothic"/>
        </w:rPr>
      </w:pPr>
      <w:r w:rsidRPr="003A55A1">
        <w:rPr>
          <w:rFonts w:ascii="Century Gothic" w:hAnsi="Century Gothic"/>
        </w:rPr>
        <w:t xml:space="preserve">a) Análisis del comportamiento de la recaudación </w:t>
      </w:r>
    </w:p>
    <w:p w:rsidR="00337357" w:rsidRPr="003A55A1" w:rsidRDefault="00337357" w:rsidP="00CE13A6">
      <w:pPr>
        <w:pStyle w:val="Sinespaciado"/>
        <w:jc w:val="both"/>
        <w:rPr>
          <w:rFonts w:ascii="Century Gothic" w:hAnsi="Century Gothic"/>
        </w:rPr>
      </w:pPr>
    </w:p>
    <w:p w:rsidR="00337357" w:rsidRPr="003A55A1" w:rsidRDefault="00337357" w:rsidP="00CE13A6">
      <w:pPr>
        <w:pStyle w:val="Sinespaciado"/>
        <w:jc w:val="both"/>
        <w:rPr>
          <w:rFonts w:ascii="Century Gothic" w:hAnsi="Century Gothic"/>
        </w:rPr>
      </w:pPr>
      <w:r w:rsidRPr="003A55A1">
        <w:rPr>
          <w:rFonts w:ascii="Century Gothic" w:hAnsi="Century Gothic"/>
        </w:rPr>
        <w:t>El comportamiento de  la  recaudación se muestra  a continuación:</w:t>
      </w:r>
    </w:p>
    <w:p w:rsidR="00337357" w:rsidRPr="003A55A1" w:rsidRDefault="00337357" w:rsidP="00CE13A6">
      <w:pPr>
        <w:pStyle w:val="Sinespaciado"/>
        <w:jc w:val="both"/>
        <w:rPr>
          <w:rFonts w:ascii="Century Gothic" w:hAnsi="Century Gothic"/>
        </w:rPr>
      </w:pPr>
    </w:p>
    <w:p w:rsidR="00337357" w:rsidRPr="003A55A1" w:rsidRDefault="00337357" w:rsidP="00CE13A6">
      <w:pPr>
        <w:pStyle w:val="Sinespaciado"/>
        <w:jc w:val="both"/>
        <w:rPr>
          <w:rFonts w:ascii="Century Gothic" w:hAnsi="Century Gothic"/>
        </w:rPr>
      </w:pPr>
    </w:p>
    <w:p w:rsidR="00D20256" w:rsidRPr="003A55A1" w:rsidRDefault="00D20256" w:rsidP="00CE13A6">
      <w:pPr>
        <w:pStyle w:val="Sinespaciado"/>
        <w:jc w:val="both"/>
        <w:rPr>
          <w:rFonts w:ascii="Century Gothic" w:hAnsi="Century Gothic"/>
        </w:rPr>
      </w:pPr>
    </w:p>
    <w:tbl>
      <w:tblPr>
        <w:tblW w:w="4946" w:type="dxa"/>
        <w:tblInd w:w="75" w:type="dxa"/>
        <w:tblCellMar>
          <w:left w:w="70" w:type="dxa"/>
          <w:right w:w="70" w:type="dxa"/>
        </w:tblCellMar>
        <w:tblLook w:val="04A0" w:firstRow="1" w:lastRow="0" w:firstColumn="1" w:lastColumn="0" w:noHBand="0" w:noVBand="1"/>
      </w:tblPr>
      <w:tblGrid>
        <w:gridCol w:w="2440"/>
        <w:gridCol w:w="1253"/>
        <w:gridCol w:w="1253"/>
      </w:tblGrid>
      <w:tr w:rsidR="007E5C29" w:rsidRPr="003A55A1" w:rsidTr="000367F6">
        <w:trPr>
          <w:trHeight w:val="499"/>
        </w:trPr>
        <w:tc>
          <w:tcPr>
            <w:tcW w:w="2440" w:type="dxa"/>
            <w:tcBorders>
              <w:top w:val="single" w:sz="4" w:space="0" w:color="auto"/>
              <w:left w:val="single" w:sz="4" w:space="0" w:color="auto"/>
              <w:bottom w:val="nil"/>
              <w:right w:val="single" w:sz="4" w:space="0" w:color="auto"/>
            </w:tcBorders>
            <w:shd w:val="clear" w:color="auto" w:fill="auto"/>
            <w:noWrap/>
            <w:vAlign w:val="center"/>
            <w:hideMark/>
          </w:tcPr>
          <w:p w:rsidR="007E5C29" w:rsidRPr="003A55A1" w:rsidRDefault="007E5C29" w:rsidP="00337357">
            <w:pPr>
              <w:spacing w:after="0" w:line="240" w:lineRule="auto"/>
              <w:jc w:val="center"/>
              <w:rPr>
                <w:rFonts w:ascii="Arial" w:eastAsia="Times New Roman" w:hAnsi="Arial" w:cs="Arial"/>
                <w:b/>
                <w:bCs/>
                <w:color w:val="000000"/>
                <w:sz w:val="16"/>
                <w:szCs w:val="16"/>
                <w:lang w:val="es-MX" w:eastAsia="es-MX"/>
              </w:rPr>
            </w:pPr>
            <w:r w:rsidRPr="003A55A1">
              <w:rPr>
                <w:rFonts w:ascii="Arial" w:eastAsia="Times New Roman" w:hAnsi="Arial" w:cs="Arial"/>
                <w:b/>
                <w:bCs/>
                <w:color w:val="000000"/>
                <w:sz w:val="16"/>
                <w:szCs w:val="16"/>
                <w:lang w:val="es-MX" w:eastAsia="es-MX"/>
              </w:rPr>
              <w:t>CONCEPTO</w:t>
            </w:r>
          </w:p>
        </w:tc>
        <w:tc>
          <w:tcPr>
            <w:tcW w:w="1253" w:type="dxa"/>
            <w:tcBorders>
              <w:top w:val="single" w:sz="4" w:space="0" w:color="auto"/>
              <w:left w:val="nil"/>
              <w:bottom w:val="nil"/>
              <w:right w:val="single" w:sz="4" w:space="0" w:color="auto"/>
            </w:tcBorders>
            <w:shd w:val="clear" w:color="auto" w:fill="auto"/>
            <w:vAlign w:val="center"/>
            <w:hideMark/>
          </w:tcPr>
          <w:p w:rsidR="007E5C29" w:rsidRPr="003A55A1" w:rsidRDefault="007E5C29" w:rsidP="00337357">
            <w:pPr>
              <w:spacing w:after="0" w:line="240" w:lineRule="auto"/>
              <w:jc w:val="center"/>
              <w:rPr>
                <w:rFonts w:ascii="Arial" w:eastAsia="Times New Roman" w:hAnsi="Arial" w:cs="Arial"/>
                <w:b/>
                <w:bCs/>
                <w:color w:val="000000"/>
                <w:sz w:val="16"/>
                <w:szCs w:val="16"/>
                <w:lang w:val="es-MX" w:eastAsia="es-MX"/>
              </w:rPr>
            </w:pPr>
            <w:r w:rsidRPr="003A55A1">
              <w:rPr>
                <w:rFonts w:ascii="Arial" w:eastAsia="Times New Roman" w:hAnsi="Arial" w:cs="Arial"/>
                <w:b/>
                <w:bCs/>
                <w:color w:val="000000"/>
                <w:sz w:val="16"/>
                <w:szCs w:val="16"/>
                <w:lang w:val="es-MX" w:eastAsia="es-MX"/>
              </w:rPr>
              <w:t>DEVENGADO</w:t>
            </w:r>
          </w:p>
        </w:tc>
        <w:tc>
          <w:tcPr>
            <w:tcW w:w="1253" w:type="dxa"/>
            <w:tcBorders>
              <w:top w:val="single" w:sz="4" w:space="0" w:color="auto"/>
              <w:left w:val="nil"/>
              <w:bottom w:val="nil"/>
              <w:right w:val="single" w:sz="4" w:space="0" w:color="auto"/>
            </w:tcBorders>
            <w:shd w:val="clear" w:color="auto" w:fill="auto"/>
            <w:vAlign w:val="center"/>
            <w:hideMark/>
          </w:tcPr>
          <w:p w:rsidR="007E5C29" w:rsidRPr="003A55A1" w:rsidRDefault="007E5C29" w:rsidP="00337357">
            <w:pPr>
              <w:spacing w:after="0" w:line="240" w:lineRule="auto"/>
              <w:jc w:val="center"/>
              <w:rPr>
                <w:rFonts w:ascii="Arial" w:eastAsia="Times New Roman" w:hAnsi="Arial" w:cs="Arial"/>
                <w:b/>
                <w:bCs/>
                <w:color w:val="000000"/>
                <w:sz w:val="16"/>
                <w:szCs w:val="16"/>
                <w:lang w:val="es-MX" w:eastAsia="es-MX"/>
              </w:rPr>
            </w:pPr>
            <w:r w:rsidRPr="003A55A1">
              <w:rPr>
                <w:rFonts w:ascii="Arial" w:eastAsia="Times New Roman" w:hAnsi="Arial" w:cs="Arial"/>
                <w:b/>
                <w:bCs/>
                <w:color w:val="000000"/>
                <w:sz w:val="16"/>
                <w:szCs w:val="16"/>
                <w:lang w:val="es-MX" w:eastAsia="es-MX"/>
              </w:rPr>
              <w:t>RECAUDADO</w:t>
            </w:r>
          </w:p>
        </w:tc>
      </w:tr>
      <w:tr w:rsidR="00E12414" w:rsidRPr="003A55A1" w:rsidTr="000367F6">
        <w:trPr>
          <w:trHeight w:val="225"/>
        </w:trPr>
        <w:tc>
          <w:tcPr>
            <w:tcW w:w="2440" w:type="dxa"/>
            <w:tcBorders>
              <w:top w:val="single" w:sz="4" w:space="0" w:color="auto"/>
              <w:left w:val="nil"/>
              <w:bottom w:val="nil"/>
              <w:right w:val="nil"/>
            </w:tcBorders>
            <w:shd w:val="clear" w:color="auto" w:fill="auto"/>
            <w:hideMark/>
          </w:tcPr>
          <w:p w:rsidR="00E12414" w:rsidRPr="003A55A1" w:rsidRDefault="00E12414" w:rsidP="00E12414">
            <w:pPr>
              <w:spacing w:after="0" w:line="240" w:lineRule="auto"/>
              <w:rPr>
                <w:rFonts w:ascii="Arial" w:eastAsia="Times New Roman" w:hAnsi="Arial" w:cs="Arial"/>
                <w:b/>
                <w:bCs/>
                <w:color w:val="000000"/>
                <w:sz w:val="16"/>
                <w:szCs w:val="16"/>
                <w:lang w:val="es-MX" w:eastAsia="es-MX"/>
              </w:rPr>
            </w:pPr>
            <w:r w:rsidRPr="003A55A1">
              <w:rPr>
                <w:rFonts w:ascii="Arial" w:eastAsia="Times New Roman" w:hAnsi="Arial" w:cs="Arial"/>
                <w:b/>
                <w:bCs/>
                <w:color w:val="000000"/>
                <w:sz w:val="16"/>
                <w:szCs w:val="16"/>
                <w:lang w:val="es-MX" w:eastAsia="es-MX"/>
              </w:rPr>
              <w:t>INGRESOS</w:t>
            </w:r>
          </w:p>
        </w:tc>
        <w:tc>
          <w:tcPr>
            <w:tcW w:w="1253" w:type="dxa"/>
            <w:tcBorders>
              <w:top w:val="single" w:sz="4" w:space="0" w:color="auto"/>
              <w:left w:val="nil"/>
              <w:bottom w:val="nil"/>
              <w:right w:val="nil"/>
            </w:tcBorders>
            <w:shd w:val="clear" w:color="auto" w:fill="auto"/>
            <w:noWrap/>
          </w:tcPr>
          <w:p w:rsidR="00E12414" w:rsidRPr="003A55A1" w:rsidRDefault="0077750B" w:rsidP="003C048A">
            <w:pPr>
              <w:spacing w:after="0" w:line="240" w:lineRule="auto"/>
              <w:jc w:val="right"/>
              <w:rPr>
                <w:rFonts w:ascii="Arial" w:eastAsia="Times New Roman" w:hAnsi="Arial" w:cs="Arial"/>
                <w:b/>
                <w:bCs/>
                <w:color w:val="000000"/>
                <w:sz w:val="16"/>
                <w:szCs w:val="16"/>
                <w:lang w:val="es-MX" w:eastAsia="es-MX"/>
              </w:rPr>
            </w:pPr>
            <w:r w:rsidRPr="003A55A1">
              <w:rPr>
                <w:rFonts w:ascii="Arial" w:eastAsia="Times New Roman" w:hAnsi="Arial" w:cs="Arial"/>
                <w:b/>
                <w:bCs/>
                <w:color w:val="000000"/>
                <w:sz w:val="16"/>
                <w:szCs w:val="16"/>
                <w:lang w:val="es-MX" w:eastAsia="es-MX"/>
              </w:rPr>
              <w:t>167,215,772.45</w:t>
            </w:r>
          </w:p>
        </w:tc>
        <w:tc>
          <w:tcPr>
            <w:tcW w:w="1253" w:type="dxa"/>
            <w:tcBorders>
              <w:top w:val="single" w:sz="4" w:space="0" w:color="auto"/>
              <w:left w:val="nil"/>
              <w:bottom w:val="nil"/>
              <w:right w:val="nil"/>
            </w:tcBorders>
            <w:shd w:val="clear" w:color="auto" w:fill="auto"/>
            <w:noWrap/>
          </w:tcPr>
          <w:p w:rsidR="003C048A" w:rsidRPr="003A55A1" w:rsidRDefault="0077750B" w:rsidP="003C048A">
            <w:pPr>
              <w:spacing w:after="0" w:line="240" w:lineRule="auto"/>
              <w:jc w:val="right"/>
              <w:rPr>
                <w:rFonts w:ascii="Arial" w:eastAsia="Times New Roman" w:hAnsi="Arial" w:cs="Arial"/>
                <w:b/>
                <w:bCs/>
                <w:color w:val="000000"/>
                <w:sz w:val="16"/>
                <w:szCs w:val="16"/>
                <w:lang w:val="es-MX" w:eastAsia="es-MX"/>
              </w:rPr>
            </w:pPr>
            <w:r w:rsidRPr="003A55A1">
              <w:rPr>
                <w:rFonts w:ascii="Arial" w:eastAsia="Times New Roman" w:hAnsi="Arial" w:cs="Arial"/>
                <w:b/>
                <w:bCs/>
                <w:color w:val="000000"/>
                <w:sz w:val="16"/>
                <w:szCs w:val="16"/>
                <w:lang w:val="es-MX" w:eastAsia="es-MX"/>
              </w:rPr>
              <w:t>166,715,771.59</w:t>
            </w:r>
          </w:p>
        </w:tc>
      </w:tr>
    </w:tbl>
    <w:p w:rsidR="00E078CF" w:rsidRPr="003A55A1" w:rsidRDefault="00337357" w:rsidP="00CE13A6">
      <w:pPr>
        <w:pStyle w:val="Sinespaciado"/>
        <w:jc w:val="both"/>
        <w:rPr>
          <w:rFonts w:ascii="Century Gothic" w:hAnsi="Century Gothic"/>
        </w:rPr>
      </w:pPr>
      <w:r w:rsidRPr="003A55A1">
        <w:rPr>
          <w:rFonts w:ascii="Century Gothic" w:hAnsi="Century Gothic"/>
        </w:rPr>
        <w:t>El detalle  de  los  conceptos  de ingreso  se muestra  en  el reporte “</w:t>
      </w:r>
      <w:r w:rsidR="007E5C29" w:rsidRPr="003A55A1">
        <w:rPr>
          <w:rFonts w:ascii="Century Gothic" w:hAnsi="Century Gothic"/>
        </w:rPr>
        <w:t>Estado analítico de ingresos</w:t>
      </w:r>
      <w:r w:rsidR="00E078CF" w:rsidRPr="003A55A1">
        <w:rPr>
          <w:rFonts w:ascii="Century Gothic" w:hAnsi="Century Gothic"/>
        </w:rPr>
        <w:t>”</w:t>
      </w:r>
    </w:p>
    <w:p w:rsidR="00CE13A6" w:rsidRPr="003A55A1" w:rsidRDefault="007E5C29" w:rsidP="00CE13A6">
      <w:pPr>
        <w:pStyle w:val="Sinespaciado"/>
        <w:jc w:val="both"/>
        <w:rPr>
          <w:rFonts w:ascii="Century Gothic" w:hAnsi="Century Gothic"/>
        </w:rPr>
      </w:pPr>
      <w:r w:rsidRPr="003A55A1">
        <w:rPr>
          <w:rFonts w:ascii="Century Gothic" w:hAnsi="Century Gothic"/>
        </w:rPr>
        <w:t xml:space="preserve"> </w:t>
      </w:r>
    </w:p>
    <w:p w:rsidR="00CE13A6" w:rsidRPr="003A55A1" w:rsidRDefault="00CE13A6" w:rsidP="007E5C29">
      <w:pPr>
        <w:pStyle w:val="Sinespaciado"/>
        <w:numPr>
          <w:ilvl w:val="0"/>
          <w:numId w:val="1"/>
        </w:numPr>
        <w:jc w:val="both"/>
        <w:rPr>
          <w:rFonts w:ascii="Century Gothic" w:hAnsi="Century Gothic"/>
        </w:rPr>
      </w:pPr>
      <w:r w:rsidRPr="003A55A1">
        <w:rPr>
          <w:rFonts w:ascii="Century Gothic" w:hAnsi="Century Gothic"/>
        </w:rPr>
        <w:t>Proyección de la recaudación e ingresos en el mediano plazo:</w:t>
      </w:r>
    </w:p>
    <w:p w:rsidR="007E5C29" w:rsidRPr="003A55A1" w:rsidRDefault="007E5C29" w:rsidP="007E5C29">
      <w:pPr>
        <w:pStyle w:val="Sinespaciado"/>
        <w:jc w:val="both"/>
        <w:rPr>
          <w:rFonts w:ascii="Century Gothic" w:hAnsi="Century Gothic"/>
        </w:rPr>
      </w:pPr>
    </w:p>
    <w:p w:rsidR="00CE13A6" w:rsidRPr="003A55A1" w:rsidRDefault="007E5C29" w:rsidP="00CE13A6">
      <w:pPr>
        <w:pStyle w:val="Sinespaciado"/>
        <w:jc w:val="both"/>
        <w:rPr>
          <w:rFonts w:ascii="Century Gothic" w:hAnsi="Century Gothic"/>
        </w:rPr>
      </w:pPr>
      <w:r w:rsidRPr="003A55A1">
        <w:rPr>
          <w:rFonts w:ascii="Century Gothic" w:hAnsi="Century Gothic"/>
        </w:rPr>
        <w:t>La  proyección de  recaudación de ingresos  presup</w:t>
      </w:r>
      <w:r w:rsidR="007B6BC1" w:rsidRPr="003A55A1">
        <w:rPr>
          <w:rFonts w:ascii="Century Gothic" w:hAnsi="Century Gothic"/>
        </w:rPr>
        <w:t>uestada  para  el ejercicio 2018</w:t>
      </w:r>
      <w:r w:rsidRPr="003A55A1">
        <w:rPr>
          <w:rFonts w:ascii="Century Gothic" w:hAnsi="Century Gothic"/>
        </w:rPr>
        <w:t xml:space="preserve"> es  como sigue: </w:t>
      </w:r>
    </w:p>
    <w:p w:rsidR="007E5C29" w:rsidRPr="003A55A1" w:rsidRDefault="007E5C29" w:rsidP="00CE13A6">
      <w:pPr>
        <w:pStyle w:val="Sinespaciado"/>
        <w:jc w:val="both"/>
        <w:rPr>
          <w:rFonts w:ascii="Century Gothic" w:hAnsi="Century Gothic"/>
        </w:rPr>
      </w:pPr>
    </w:p>
    <w:p w:rsidR="007E5C29" w:rsidRPr="003A55A1" w:rsidRDefault="007E5C29" w:rsidP="00CE13A6">
      <w:pPr>
        <w:pStyle w:val="Sinespaciado"/>
        <w:jc w:val="both"/>
        <w:rPr>
          <w:rFonts w:ascii="Century Gothic" w:hAnsi="Century Gothic"/>
        </w:rPr>
      </w:pPr>
    </w:p>
    <w:tbl>
      <w:tblPr>
        <w:tblW w:w="6546" w:type="dxa"/>
        <w:tblInd w:w="75" w:type="dxa"/>
        <w:tblCellMar>
          <w:left w:w="70" w:type="dxa"/>
          <w:right w:w="70" w:type="dxa"/>
        </w:tblCellMar>
        <w:tblLook w:val="04A0" w:firstRow="1" w:lastRow="0" w:firstColumn="1" w:lastColumn="0" w:noHBand="0" w:noVBand="1"/>
      </w:tblPr>
      <w:tblGrid>
        <w:gridCol w:w="2440"/>
        <w:gridCol w:w="1253"/>
        <w:gridCol w:w="1600"/>
        <w:gridCol w:w="1253"/>
      </w:tblGrid>
      <w:tr w:rsidR="007E5C29" w:rsidRPr="003A55A1" w:rsidTr="0068520D">
        <w:trPr>
          <w:trHeight w:val="499"/>
        </w:trPr>
        <w:tc>
          <w:tcPr>
            <w:tcW w:w="2440" w:type="dxa"/>
            <w:tcBorders>
              <w:top w:val="single" w:sz="4" w:space="0" w:color="auto"/>
              <w:left w:val="single" w:sz="4" w:space="0" w:color="auto"/>
              <w:bottom w:val="nil"/>
              <w:right w:val="single" w:sz="4" w:space="0" w:color="auto"/>
            </w:tcBorders>
            <w:shd w:val="clear" w:color="auto" w:fill="auto"/>
            <w:noWrap/>
            <w:vAlign w:val="center"/>
            <w:hideMark/>
          </w:tcPr>
          <w:p w:rsidR="007E5C29" w:rsidRPr="003A55A1" w:rsidRDefault="007E5C29" w:rsidP="007F2BBF">
            <w:pPr>
              <w:spacing w:after="0" w:line="240" w:lineRule="auto"/>
              <w:jc w:val="center"/>
              <w:rPr>
                <w:rFonts w:ascii="Arial" w:eastAsia="Times New Roman" w:hAnsi="Arial" w:cs="Arial"/>
                <w:b/>
                <w:bCs/>
                <w:color w:val="000000"/>
                <w:sz w:val="16"/>
                <w:szCs w:val="16"/>
                <w:lang w:val="es-MX" w:eastAsia="es-MX"/>
              </w:rPr>
            </w:pPr>
            <w:r w:rsidRPr="003A55A1">
              <w:rPr>
                <w:rFonts w:ascii="Arial" w:eastAsia="Times New Roman" w:hAnsi="Arial" w:cs="Arial"/>
                <w:b/>
                <w:bCs/>
                <w:color w:val="000000"/>
                <w:sz w:val="16"/>
                <w:szCs w:val="16"/>
                <w:lang w:val="es-MX" w:eastAsia="es-MX"/>
              </w:rPr>
              <w:t>CONCEPTO</w:t>
            </w:r>
          </w:p>
        </w:tc>
        <w:tc>
          <w:tcPr>
            <w:tcW w:w="1253" w:type="dxa"/>
            <w:tcBorders>
              <w:top w:val="single" w:sz="4" w:space="0" w:color="auto"/>
              <w:left w:val="nil"/>
              <w:bottom w:val="nil"/>
              <w:right w:val="single" w:sz="4" w:space="0" w:color="auto"/>
            </w:tcBorders>
            <w:shd w:val="clear" w:color="auto" w:fill="auto"/>
            <w:vAlign w:val="center"/>
            <w:hideMark/>
          </w:tcPr>
          <w:p w:rsidR="007E5C29" w:rsidRPr="003A55A1" w:rsidRDefault="007E5C29" w:rsidP="007F2BBF">
            <w:pPr>
              <w:spacing w:after="0" w:line="240" w:lineRule="auto"/>
              <w:jc w:val="center"/>
              <w:rPr>
                <w:rFonts w:ascii="Arial" w:eastAsia="Times New Roman" w:hAnsi="Arial" w:cs="Arial"/>
                <w:b/>
                <w:bCs/>
                <w:color w:val="000000"/>
                <w:sz w:val="16"/>
                <w:szCs w:val="16"/>
                <w:lang w:val="es-MX" w:eastAsia="es-MX"/>
              </w:rPr>
            </w:pPr>
            <w:r w:rsidRPr="003A55A1">
              <w:rPr>
                <w:rFonts w:ascii="Arial" w:eastAsia="Times New Roman" w:hAnsi="Arial" w:cs="Arial"/>
                <w:b/>
                <w:bCs/>
                <w:color w:val="000000"/>
                <w:sz w:val="16"/>
                <w:szCs w:val="16"/>
                <w:lang w:val="es-MX" w:eastAsia="es-MX"/>
              </w:rPr>
              <w:t>ESTIMADO</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7E5C29" w:rsidRPr="003A55A1" w:rsidRDefault="007E5C29" w:rsidP="007F2BBF">
            <w:pPr>
              <w:spacing w:after="0" w:line="240" w:lineRule="auto"/>
              <w:jc w:val="center"/>
              <w:rPr>
                <w:rFonts w:ascii="Arial" w:eastAsia="Times New Roman" w:hAnsi="Arial" w:cs="Arial"/>
                <w:b/>
                <w:bCs/>
                <w:color w:val="000000"/>
                <w:sz w:val="16"/>
                <w:szCs w:val="16"/>
                <w:lang w:val="es-MX" w:eastAsia="es-MX"/>
              </w:rPr>
            </w:pPr>
            <w:r w:rsidRPr="003A55A1">
              <w:rPr>
                <w:rFonts w:ascii="Arial" w:eastAsia="Times New Roman" w:hAnsi="Arial" w:cs="Arial"/>
                <w:b/>
                <w:bCs/>
                <w:color w:val="000000"/>
                <w:sz w:val="16"/>
                <w:szCs w:val="16"/>
                <w:lang w:val="es-MX" w:eastAsia="es-MX"/>
              </w:rPr>
              <w:t>AMPLIACIONES Y REDUCCIONES</w:t>
            </w:r>
          </w:p>
        </w:tc>
        <w:tc>
          <w:tcPr>
            <w:tcW w:w="1253" w:type="dxa"/>
            <w:tcBorders>
              <w:top w:val="single" w:sz="4" w:space="0" w:color="auto"/>
              <w:left w:val="nil"/>
              <w:bottom w:val="nil"/>
              <w:right w:val="single" w:sz="4" w:space="0" w:color="auto"/>
            </w:tcBorders>
            <w:shd w:val="clear" w:color="auto" w:fill="auto"/>
            <w:vAlign w:val="center"/>
            <w:hideMark/>
          </w:tcPr>
          <w:p w:rsidR="007E5C29" w:rsidRPr="003A55A1" w:rsidRDefault="007E5C29" w:rsidP="007F2BBF">
            <w:pPr>
              <w:spacing w:after="0" w:line="240" w:lineRule="auto"/>
              <w:jc w:val="center"/>
              <w:rPr>
                <w:rFonts w:ascii="Arial" w:eastAsia="Times New Roman" w:hAnsi="Arial" w:cs="Arial"/>
                <w:b/>
                <w:bCs/>
                <w:color w:val="000000"/>
                <w:sz w:val="16"/>
                <w:szCs w:val="16"/>
                <w:lang w:val="es-MX" w:eastAsia="es-MX"/>
              </w:rPr>
            </w:pPr>
            <w:r w:rsidRPr="003A55A1">
              <w:rPr>
                <w:rFonts w:ascii="Arial" w:eastAsia="Times New Roman" w:hAnsi="Arial" w:cs="Arial"/>
                <w:b/>
                <w:bCs/>
                <w:color w:val="000000"/>
                <w:sz w:val="16"/>
                <w:szCs w:val="16"/>
                <w:lang w:val="es-MX" w:eastAsia="es-MX"/>
              </w:rPr>
              <w:t>MODIFICADO</w:t>
            </w:r>
          </w:p>
        </w:tc>
      </w:tr>
      <w:tr w:rsidR="007E5C29" w:rsidRPr="003A55A1" w:rsidTr="0068520D">
        <w:trPr>
          <w:trHeight w:val="225"/>
        </w:trPr>
        <w:tc>
          <w:tcPr>
            <w:tcW w:w="2440" w:type="dxa"/>
            <w:tcBorders>
              <w:top w:val="single" w:sz="4" w:space="0" w:color="auto"/>
              <w:left w:val="nil"/>
              <w:bottom w:val="nil"/>
              <w:right w:val="nil"/>
            </w:tcBorders>
            <w:shd w:val="clear" w:color="auto" w:fill="auto"/>
            <w:hideMark/>
          </w:tcPr>
          <w:p w:rsidR="007E5C29" w:rsidRPr="003A55A1" w:rsidRDefault="007E5C29" w:rsidP="007F2BBF">
            <w:pPr>
              <w:spacing w:after="0" w:line="240" w:lineRule="auto"/>
              <w:rPr>
                <w:rFonts w:ascii="Arial" w:eastAsia="Times New Roman" w:hAnsi="Arial" w:cs="Arial"/>
                <w:b/>
                <w:bCs/>
                <w:color w:val="000000"/>
                <w:sz w:val="16"/>
                <w:szCs w:val="16"/>
                <w:lang w:val="es-MX" w:eastAsia="es-MX"/>
              </w:rPr>
            </w:pPr>
            <w:r w:rsidRPr="003A55A1">
              <w:rPr>
                <w:rFonts w:ascii="Arial" w:eastAsia="Times New Roman" w:hAnsi="Arial" w:cs="Arial"/>
                <w:b/>
                <w:bCs/>
                <w:color w:val="000000"/>
                <w:sz w:val="16"/>
                <w:szCs w:val="16"/>
                <w:lang w:val="es-MX" w:eastAsia="es-MX"/>
              </w:rPr>
              <w:t>PRESUPUESTO DE INGRESOS</w:t>
            </w:r>
          </w:p>
        </w:tc>
        <w:tc>
          <w:tcPr>
            <w:tcW w:w="1253" w:type="dxa"/>
            <w:tcBorders>
              <w:top w:val="single" w:sz="4" w:space="0" w:color="auto"/>
              <w:left w:val="nil"/>
              <w:bottom w:val="nil"/>
              <w:right w:val="nil"/>
            </w:tcBorders>
            <w:shd w:val="clear" w:color="auto" w:fill="auto"/>
            <w:noWrap/>
          </w:tcPr>
          <w:p w:rsidR="007E5C29" w:rsidRPr="003A55A1" w:rsidRDefault="00D20256" w:rsidP="00130292">
            <w:pPr>
              <w:spacing w:after="0" w:line="240" w:lineRule="auto"/>
              <w:jc w:val="right"/>
              <w:rPr>
                <w:rFonts w:ascii="Arial" w:eastAsia="Times New Roman" w:hAnsi="Arial" w:cs="Arial"/>
                <w:b/>
                <w:bCs/>
                <w:color w:val="000000"/>
                <w:sz w:val="16"/>
                <w:szCs w:val="16"/>
                <w:lang w:val="es-MX" w:eastAsia="es-MX"/>
              </w:rPr>
            </w:pPr>
            <w:r w:rsidRPr="003A55A1">
              <w:rPr>
                <w:rFonts w:ascii="Arial" w:eastAsia="Times New Roman" w:hAnsi="Arial" w:cs="Arial"/>
                <w:b/>
                <w:bCs/>
                <w:color w:val="000000"/>
                <w:sz w:val="16"/>
                <w:szCs w:val="16"/>
                <w:lang w:val="es-MX" w:eastAsia="es-MX"/>
              </w:rPr>
              <w:t>144,464,956.00</w:t>
            </w:r>
          </w:p>
        </w:tc>
        <w:tc>
          <w:tcPr>
            <w:tcW w:w="1600" w:type="dxa"/>
            <w:tcBorders>
              <w:top w:val="nil"/>
              <w:left w:val="nil"/>
              <w:bottom w:val="nil"/>
              <w:right w:val="nil"/>
            </w:tcBorders>
            <w:shd w:val="clear" w:color="auto" w:fill="auto"/>
            <w:noWrap/>
          </w:tcPr>
          <w:p w:rsidR="0066724B" w:rsidRPr="003A55A1" w:rsidRDefault="00E627FE" w:rsidP="0068520D">
            <w:pPr>
              <w:spacing w:after="0" w:line="240" w:lineRule="auto"/>
              <w:jc w:val="right"/>
              <w:rPr>
                <w:rFonts w:ascii="Arial" w:eastAsia="Times New Roman" w:hAnsi="Arial" w:cs="Arial"/>
                <w:b/>
                <w:bCs/>
                <w:color w:val="000000"/>
                <w:sz w:val="16"/>
                <w:szCs w:val="16"/>
                <w:lang w:val="es-MX" w:eastAsia="es-MX"/>
              </w:rPr>
            </w:pPr>
            <w:r w:rsidRPr="003A55A1">
              <w:rPr>
                <w:rFonts w:ascii="Arial" w:eastAsia="Times New Roman" w:hAnsi="Arial" w:cs="Arial"/>
                <w:b/>
                <w:bCs/>
                <w:color w:val="000000"/>
                <w:sz w:val="16"/>
                <w:szCs w:val="16"/>
                <w:lang w:val="es-MX" w:eastAsia="es-MX"/>
              </w:rPr>
              <w:t>14,896,109.07</w:t>
            </w:r>
          </w:p>
        </w:tc>
        <w:tc>
          <w:tcPr>
            <w:tcW w:w="1253" w:type="dxa"/>
            <w:tcBorders>
              <w:top w:val="single" w:sz="4" w:space="0" w:color="auto"/>
              <w:left w:val="nil"/>
              <w:bottom w:val="nil"/>
              <w:right w:val="nil"/>
            </w:tcBorders>
            <w:shd w:val="clear" w:color="auto" w:fill="auto"/>
            <w:noWrap/>
          </w:tcPr>
          <w:p w:rsidR="007E5C29" w:rsidRPr="003A55A1" w:rsidRDefault="00E627FE" w:rsidP="0093480B">
            <w:pPr>
              <w:spacing w:after="0" w:line="240" w:lineRule="auto"/>
              <w:jc w:val="right"/>
              <w:rPr>
                <w:rFonts w:ascii="Arial" w:eastAsia="Times New Roman" w:hAnsi="Arial" w:cs="Arial"/>
                <w:b/>
                <w:bCs/>
                <w:color w:val="000000"/>
                <w:sz w:val="16"/>
                <w:szCs w:val="16"/>
                <w:lang w:val="es-MX" w:eastAsia="es-MX"/>
              </w:rPr>
            </w:pPr>
            <w:r w:rsidRPr="003A55A1">
              <w:rPr>
                <w:rFonts w:ascii="Arial" w:eastAsia="Times New Roman" w:hAnsi="Arial" w:cs="Arial"/>
                <w:b/>
                <w:bCs/>
                <w:color w:val="000000"/>
                <w:sz w:val="16"/>
                <w:szCs w:val="16"/>
                <w:lang w:val="es-MX" w:eastAsia="es-MX"/>
              </w:rPr>
              <w:t>159,361,065.07</w:t>
            </w:r>
          </w:p>
        </w:tc>
      </w:tr>
    </w:tbl>
    <w:p w:rsidR="00CE13A6" w:rsidRPr="003A55A1" w:rsidRDefault="00CE13A6" w:rsidP="00CE13A6">
      <w:pPr>
        <w:pStyle w:val="Sinespaciado"/>
        <w:jc w:val="both"/>
        <w:rPr>
          <w:rFonts w:ascii="Century Gothic" w:hAnsi="Century Gothic"/>
        </w:rPr>
      </w:pPr>
    </w:p>
    <w:p w:rsidR="007E5C29" w:rsidRPr="003A55A1" w:rsidRDefault="007E5C29" w:rsidP="00CE13A6">
      <w:pPr>
        <w:pStyle w:val="Sinespaciado"/>
        <w:jc w:val="both"/>
        <w:rPr>
          <w:rFonts w:ascii="Century Gothic" w:hAnsi="Century Gothic"/>
        </w:rPr>
      </w:pPr>
    </w:p>
    <w:p w:rsidR="007E5C29" w:rsidRPr="003A55A1" w:rsidRDefault="007E5C29" w:rsidP="007E5C29">
      <w:pPr>
        <w:pStyle w:val="Sinespaciado"/>
        <w:jc w:val="both"/>
        <w:rPr>
          <w:rFonts w:ascii="Century Gothic" w:hAnsi="Century Gothic"/>
        </w:rPr>
      </w:pPr>
      <w:r w:rsidRPr="003A55A1">
        <w:rPr>
          <w:rFonts w:ascii="Century Gothic" w:hAnsi="Century Gothic"/>
        </w:rPr>
        <w:t>El detalle  de  los  conceptos  de ingreso  se muestra  en  el reporte “Estado analítico de ingresos”</w:t>
      </w:r>
    </w:p>
    <w:p w:rsidR="007E5C29" w:rsidRPr="003A55A1" w:rsidRDefault="007E5C29" w:rsidP="00CE13A6">
      <w:pPr>
        <w:pStyle w:val="Sinespaciado"/>
        <w:jc w:val="both"/>
        <w:rPr>
          <w:rFonts w:ascii="Century Gothic" w:hAnsi="Century Gothic"/>
        </w:rPr>
      </w:pPr>
    </w:p>
    <w:p w:rsidR="007E5C29" w:rsidRPr="003A55A1" w:rsidRDefault="007E5C29" w:rsidP="00CE13A6">
      <w:pPr>
        <w:pStyle w:val="Sinespaciado"/>
        <w:jc w:val="both"/>
        <w:rPr>
          <w:rFonts w:ascii="Century Gothic" w:hAnsi="Century Gothic"/>
        </w:rPr>
      </w:pPr>
    </w:p>
    <w:p w:rsidR="00CE13A6" w:rsidRPr="003A55A1" w:rsidRDefault="00CE13A6" w:rsidP="00CE13A6">
      <w:pPr>
        <w:pStyle w:val="Sinespaciado"/>
        <w:jc w:val="both"/>
        <w:rPr>
          <w:rFonts w:ascii="Century Gothic" w:hAnsi="Century Gothic"/>
          <w:b/>
        </w:rPr>
      </w:pPr>
      <w:r w:rsidRPr="003A55A1">
        <w:rPr>
          <w:rFonts w:ascii="Century Gothic" w:hAnsi="Century Gothic"/>
          <w:b/>
          <w:u w:val="single"/>
        </w:rPr>
        <w:t>11. Información sobre la Deuda y el Reporte Analítico de la Deuda</w:t>
      </w:r>
      <w:r w:rsidRPr="003A55A1">
        <w:rPr>
          <w:rFonts w:ascii="Century Gothic" w:hAnsi="Century Gothic"/>
          <w:b/>
        </w:rPr>
        <w:t>:</w:t>
      </w:r>
      <w:r w:rsidRPr="003A55A1">
        <w:rPr>
          <w:rFonts w:ascii="Century Gothic" w:hAnsi="Century Gothic"/>
          <w:b/>
        </w:rPr>
        <w:tab/>
      </w:r>
      <w:r w:rsidRPr="003A55A1">
        <w:rPr>
          <w:rFonts w:ascii="Century Gothic" w:hAnsi="Century Gothic"/>
          <w:b/>
        </w:rPr>
        <w:tab/>
      </w:r>
      <w:r w:rsidRPr="003A55A1">
        <w:rPr>
          <w:rFonts w:ascii="Century Gothic" w:hAnsi="Century Gothic"/>
          <w:b/>
        </w:rPr>
        <w:tab/>
      </w:r>
    </w:p>
    <w:p w:rsidR="00CE13A6" w:rsidRPr="003A55A1" w:rsidRDefault="007E5C29" w:rsidP="00CE13A6">
      <w:pPr>
        <w:pStyle w:val="Sinespaciado"/>
        <w:jc w:val="both"/>
        <w:rPr>
          <w:rFonts w:ascii="Century Gothic" w:hAnsi="Century Gothic"/>
        </w:rPr>
      </w:pPr>
      <w:r w:rsidRPr="003A55A1">
        <w:rPr>
          <w:rFonts w:ascii="Century Gothic" w:hAnsi="Century Gothic"/>
        </w:rPr>
        <w:t>El Patronato no tiene  contratada deuda  pública.</w:t>
      </w:r>
    </w:p>
    <w:p w:rsidR="00CE13A6" w:rsidRPr="003A55A1" w:rsidRDefault="00CE13A6" w:rsidP="00CE13A6">
      <w:pPr>
        <w:pStyle w:val="Sinespaciado"/>
        <w:jc w:val="both"/>
        <w:rPr>
          <w:rFonts w:ascii="Century Gothic" w:hAnsi="Century Gothic"/>
          <w:b/>
          <w:u w:val="single"/>
        </w:rPr>
      </w:pPr>
    </w:p>
    <w:p w:rsidR="00CE13A6" w:rsidRPr="003A55A1" w:rsidRDefault="00CE13A6" w:rsidP="00CE13A6">
      <w:pPr>
        <w:pStyle w:val="Sinespaciado"/>
        <w:jc w:val="both"/>
        <w:rPr>
          <w:rFonts w:ascii="Century Gothic" w:hAnsi="Century Gothic"/>
        </w:rPr>
      </w:pPr>
      <w:r w:rsidRPr="003A55A1">
        <w:rPr>
          <w:rFonts w:ascii="Century Gothic" w:hAnsi="Century Gothic"/>
          <w:b/>
          <w:u w:val="single"/>
        </w:rPr>
        <w:t>12. Calificaciones otorgadas:</w:t>
      </w:r>
      <w:r w:rsidRPr="003A55A1">
        <w:rPr>
          <w:rFonts w:ascii="Century Gothic" w:hAnsi="Century Gothic"/>
        </w:rPr>
        <w:tab/>
      </w:r>
      <w:r w:rsidRPr="003A55A1">
        <w:rPr>
          <w:rFonts w:ascii="Century Gothic" w:hAnsi="Century Gothic"/>
        </w:rPr>
        <w:tab/>
      </w:r>
      <w:r w:rsidRPr="003A55A1">
        <w:rPr>
          <w:rFonts w:ascii="Century Gothic" w:hAnsi="Century Gothic"/>
        </w:rPr>
        <w:tab/>
      </w:r>
    </w:p>
    <w:p w:rsidR="00CE13A6" w:rsidRPr="003A55A1" w:rsidRDefault="00CE13A6" w:rsidP="00CE13A6">
      <w:pPr>
        <w:pStyle w:val="Sinespaciado"/>
        <w:jc w:val="both"/>
        <w:rPr>
          <w:rFonts w:ascii="Century Gothic" w:hAnsi="Century Gothic"/>
        </w:rPr>
      </w:pPr>
    </w:p>
    <w:p w:rsidR="00CE13A6" w:rsidRPr="003A55A1" w:rsidRDefault="007E5C29" w:rsidP="00CE13A6">
      <w:pPr>
        <w:pStyle w:val="Sinespaciado"/>
        <w:jc w:val="both"/>
        <w:rPr>
          <w:rFonts w:ascii="Century Gothic" w:hAnsi="Century Gothic"/>
        </w:rPr>
      </w:pPr>
      <w:r w:rsidRPr="003A55A1">
        <w:rPr>
          <w:rFonts w:ascii="Century Gothic" w:hAnsi="Century Gothic"/>
        </w:rPr>
        <w:t>El Patronato no ha  realizado ninguna</w:t>
      </w:r>
      <w:r w:rsidR="00CE13A6" w:rsidRPr="003A55A1">
        <w:rPr>
          <w:rFonts w:ascii="Century Gothic" w:hAnsi="Century Gothic"/>
        </w:rPr>
        <w:t xml:space="preserve"> transacción, que haya sido sujet</w:t>
      </w:r>
      <w:r w:rsidR="00D267EC" w:rsidRPr="003A55A1">
        <w:rPr>
          <w:rFonts w:ascii="Century Gothic" w:hAnsi="Century Gothic"/>
        </w:rPr>
        <w:t>a a una calificación crediticia.</w:t>
      </w:r>
    </w:p>
    <w:p w:rsidR="00CE13A6" w:rsidRPr="003A55A1" w:rsidRDefault="00CE13A6" w:rsidP="00CE13A6">
      <w:pPr>
        <w:pStyle w:val="Sinespaciado"/>
        <w:jc w:val="both"/>
        <w:rPr>
          <w:rFonts w:ascii="Century Gothic" w:hAnsi="Century Gothic"/>
        </w:rPr>
      </w:pPr>
    </w:p>
    <w:p w:rsidR="00CE13A6" w:rsidRPr="003A55A1" w:rsidRDefault="00CE13A6" w:rsidP="00CE13A6">
      <w:pPr>
        <w:pStyle w:val="Sinespaciado"/>
        <w:jc w:val="both"/>
        <w:rPr>
          <w:rFonts w:ascii="Century Gothic" w:hAnsi="Century Gothic"/>
        </w:rPr>
      </w:pPr>
    </w:p>
    <w:p w:rsidR="00CE13A6" w:rsidRPr="003A55A1" w:rsidRDefault="00CE13A6" w:rsidP="00CE13A6">
      <w:pPr>
        <w:pStyle w:val="Sinespaciado"/>
        <w:jc w:val="both"/>
        <w:rPr>
          <w:rFonts w:ascii="Century Gothic" w:hAnsi="Century Gothic"/>
          <w:b/>
          <w:u w:val="single"/>
        </w:rPr>
      </w:pPr>
      <w:r w:rsidRPr="003A55A1">
        <w:rPr>
          <w:rFonts w:ascii="Century Gothic" w:hAnsi="Century Gothic"/>
          <w:b/>
          <w:u w:val="single"/>
        </w:rPr>
        <w:t>13. Proceso de Mejora:</w:t>
      </w:r>
      <w:r w:rsidRPr="003A55A1">
        <w:rPr>
          <w:rFonts w:ascii="Century Gothic" w:hAnsi="Century Gothic"/>
          <w:b/>
        </w:rPr>
        <w:tab/>
      </w:r>
      <w:r w:rsidRPr="003A55A1">
        <w:rPr>
          <w:rFonts w:ascii="Century Gothic" w:hAnsi="Century Gothic"/>
          <w:b/>
        </w:rPr>
        <w:tab/>
      </w:r>
      <w:r w:rsidRPr="003A55A1">
        <w:rPr>
          <w:rFonts w:ascii="Century Gothic" w:hAnsi="Century Gothic"/>
          <w:b/>
        </w:rPr>
        <w:tab/>
      </w:r>
    </w:p>
    <w:p w:rsidR="00CE13A6" w:rsidRPr="003A55A1" w:rsidRDefault="00CE13A6" w:rsidP="00CE13A6">
      <w:pPr>
        <w:pStyle w:val="Sinespaciado"/>
        <w:jc w:val="both"/>
        <w:rPr>
          <w:rFonts w:ascii="Century Gothic" w:hAnsi="Century Gothic"/>
        </w:rPr>
      </w:pPr>
    </w:p>
    <w:p w:rsidR="00CE13A6" w:rsidRPr="003A55A1" w:rsidRDefault="00CE13A6" w:rsidP="00CE13A6">
      <w:pPr>
        <w:pStyle w:val="Sinespaciado"/>
        <w:jc w:val="both"/>
        <w:rPr>
          <w:rFonts w:ascii="Century Gothic" w:hAnsi="Century Gothic"/>
        </w:rPr>
      </w:pPr>
      <w:r w:rsidRPr="003A55A1">
        <w:rPr>
          <w:rFonts w:ascii="Century Gothic" w:hAnsi="Century Gothic"/>
        </w:rPr>
        <w:t>Se informará de:</w:t>
      </w:r>
    </w:p>
    <w:p w:rsidR="00CE13A6" w:rsidRPr="003A55A1" w:rsidRDefault="00CE13A6" w:rsidP="00CE13A6">
      <w:pPr>
        <w:pStyle w:val="Sinespaciado"/>
        <w:jc w:val="both"/>
        <w:rPr>
          <w:rFonts w:ascii="Century Gothic" w:hAnsi="Century Gothic"/>
        </w:rPr>
      </w:pPr>
    </w:p>
    <w:p w:rsidR="00CE13A6" w:rsidRPr="003A55A1" w:rsidRDefault="00CE13A6" w:rsidP="00CE13A6">
      <w:pPr>
        <w:pStyle w:val="Sinespaciado"/>
        <w:jc w:val="both"/>
        <w:rPr>
          <w:rFonts w:ascii="Century Gothic" w:hAnsi="Century Gothic"/>
        </w:rPr>
      </w:pPr>
      <w:r w:rsidRPr="003A55A1">
        <w:rPr>
          <w:rFonts w:ascii="Century Gothic" w:hAnsi="Century Gothic"/>
        </w:rPr>
        <w:t>a) Principales Políticas de control interno:</w:t>
      </w:r>
    </w:p>
    <w:p w:rsidR="00CE13A6" w:rsidRPr="003A55A1" w:rsidRDefault="00CE13A6" w:rsidP="00CE13A6">
      <w:pPr>
        <w:pStyle w:val="Sinespaciado"/>
        <w:jc w:val="both"/>
        <w:rPr>
          <w:rFonts w:ascii="Century Gothic" w:hAnsi="Century Gothic"/>
        </w:rPr>
      </w:pPr>
    </w:p>
    <w:p w:rsidR="00CE13A6" w:rsidRPr="003A55A1" w:rsidRDefault="009A2FCF" w:rsidP="00CE13A6">
      <w:pPr>
        <w:pStyle w:val="Sinespaciado"/>
        <w:jc w:val="both"/>
        <w:rPr>
          <w:rFonts w:ascii="Century Gothic" w:hAnsi="Century Gothic"/>
        </w:rPr>
      </w:pPr>
      <w:r w:rsidRPr="003A55A1">
        <w:rPr>
          <w:rFonts w:ascii="Century Gothic" w:hAnsi="Century Gothic"/>
        </w:rPr>
        <w:t>-</w:t>
      </w:r>
      <w:r w:rsidR="00CE13A6" w:rsidRPr="003A55A1">
        <w:rPr>
          <w:rFonts w:ascii="Century Gothic" w:hAnsi="Century Gothic"/>
        </w:rPr>
        <w:t>Administración, resguardo, Manejo y utilización de bienes muebles.</w:t>
      </w:r>
    </w:p>
    <w:p w:rsidR="00E078CF" w:rsidRPr="003A55A1" w:rsidRDefault="00E078CF" w:rsidP="00CE13A6">
      <w:pPr>
        <w:pStyle w:val="Sinespaciado"/>
        <w:jc w:val="both"/>
        <w:rPr>
          <w:rFonts w:ascii="Century Gothic" w:hAnsi="Century Gothic"/>
        </w:rPr>
      </w:pPr>
      <w:r w:rsidRPr="003A55A1">
        <w:rPr>
          <w:rFonts w:ascii="Century Gothic" w:hAnsi="Century Gothic"/>
        </w:rPr>
        <w:lastRenderedPageBreak/>
        <w:t>Se actualiza el inventario y resguardos con las adquisiciones y bajas de bienes muebles.</w:t>
      </w:r>
    </w:p>
    <w:p w:rsidR="009A2FCF" w:rsidRPr="003A55A1" w:rsidRDefault="009A2FCF" w:rsidP="00CE13A6">
      <w:pPr>
        <w:pStyle w:val="Sinespaciado"/>
        <w:jc w:val="both"/>
        <w:rPr>
          <w:rFonts w:ascii="Century Gothic" w:hAnsi="Century Gothic"/>
        </w:rPr>
      </w:pPr>
    </w:p>
    <w:p w:rsidR="00E078CF" w:rsidRPr="003A55A1" w:rsidRDefault="00E078CF" w:rsidP="00CE13A6">
      <w:pPr>
        <w:pStyle w:val="Sinespaciado"/>
        <w:jc w:val="both"/>
        <w:rPr>
          <w:rFonts w:ascii="Century Gothic" w:hAnsi="Century Gothic"/>
        </w:rPr>
      </w:pPr>
      <w:r w:rsidRPr="003A55A1">
        <w:rPr>
          <w:rFonts w:ascii="Century Gothic" w:hAnsi="Century Gothic"/>
        </w:rPr>
        <w:t xml:space="preserve"> En los meses de febrero y agosto de cada año se actualiza</w:t>
      </w:r>
      <w:r w:rsidR="009A2FCF" w:rsidRPr="003A55A1">
        <w:rPr>
          <w:rFonts w:ascii="Century Gothic" w:hAnsi="Century Gothic"/>
        </w:rPr>
        <w:t>n</w:t>
      </w:r>
      <w:r w:rsidRPr="003A55A1">
        <w:rPr>
          <w:rFonts w:ascii="Century Gothic" w:hAnsi="Century Gothic"/>
        </w:rPr>
        <w:t xml:space="preserve"> los inventarios y resguardos de bienes muebles.</w:t>
      </w:r>
    </w:p>
    <w:p w:rsidR="009A2FCF" w:rsidRPr="003A55A1" w:rsidRDefault="009A2FCF" w:rsidP="00CE13A6">
      <w:pPr>
        <w:pStyle w:val="Sinespaciado"/>
        <w:jc w:val="both"/>
        <w:rPr>
          <w:rFonts w:ascii="Century Gothic" w:hAnsi="Century Gothic"/>
        </w:rPr>
      </w:pPr>
    </w:p>
    <w:p w:rsidR="009A2FCF" w:rsidRPr="003A55A1" w:rsidRDefault="009A2FCF" w:rsidP="00CE13A6">
      <w:pPr>
        <w:pStyle w:val="Sinespaciado"/>
        <w:jc w:val="both"/>
        <w:rPr>
          <w:rFonts w:ascii="Century Gothic" w:hAnsi="Century Gothic"/>
        </w:rPr>
      </w:pPr>
      <w:r w:rsidRPr="003A55A1">
        <w:rPr>
          <w:rFonts w:ascii="Century Gothic" w:hAnsi="Century Gothic"/>
        </w:rPr>
        <w:t>Se efectúa conciliación mensual del inventario físico contra los registros contables de bienes muebles.</w:t>
      </w:r>
    </w:p>
    <w:p w:rsidR="009A2FCF" w:rsidRPr="003A55A1" w:rsidRDefault="009A2FCF" w:rsidP="00CE13A6">
      <w:pPr>
        <w:pStyle w:val="Sinespaciado"/>
        <w:jc w:val="both"/>
        <w:rPr>
          <w:rFonts w:ascii="Century Gothic" w:hAnsi="Century Gothic"/>
        </w:rPr>
      </w:pPr>
    </w:p>
    <w:p w:rsidR="009A2FCF" w:rsidRPr="003A55A1" w:rsidRDefault="009A2FCF" w:rsidP="00CE13A6">
      <w:pPr>
        <w:pStyle w:val="Sinespaciado"/>
        <w:jc w:val="both"/>
        <w:rPr>
          <w:rFonts w:ascii="Century Gothic" w:hAnsi="Century Gothic"/>
        </w:rPr>
      </w:pPr>
      <w:r w:rsidRPr="003A55A1">
        <w:rPr>
          <w:rFonts w:ascii="Century Gothic" w:hAnsi="Century Gothic"/>
        </w:rPr>
        <w:t xml:space="preserve">Se elabora mensualmente el archivo de valor en libros cotejándolo contra los registros contables. </w:t>
      </w:r>
    </w:p>
    <w:p w:rsidR="00E078CF" w:rsidRPr="003A55A1" w:rsidRDefault="00E078CF" w:rsidP="00CE13A6">
      <w:pPr>
        <w:pStyle w:val="Sinespaciado"/>
        <w:jc w:val="both"/>
        <w:rPr>
          <w:rFonts w:ascii="Century Gothic" w:hAnsi="Century Gothic"/>
        </w:rPr>
      </w:pPr>
    </w:p>
    <w:p w:rsidR="00CE13A6" w:rsidRPr="003A55A1" w:rsidRDefault="009A2FCF" w:rsidP="00CE13A6">
      <w:pPr>
        <w:pStyle w:val="Sinespaciado"/>
        <w:jc w:val="both"/>
        <w:rPr>
          <w:rFonts w:ascii="Century Gothic" w:hAnsi="Century Gothic"/>
        </w:rPr>
      </w:pPr>
      <w:r w:rsidRPr="003A55A1">
        <w:rPr>
          <w:rFonts w:ascii="Century Gothic" w:hAnsi="Century Gothic"/>
        </w:rPr>
        <w:t>-</w:t>
      </w:r>
      <w:r w:rsidR="00CE13A6" w:rsidRPr="003A55A1">
        <w:rPr>
          <w:rFonts w:ascii="Century Gothic" w:hAnsi="Century Gothic"/>
        </w:rPr>
        <w:t>Administración y uso de vehículos.</w:t>
      </w:r>
    </w:p>
    <w:p w:rsidR="009A2FCF" w:rsidRPr="003A55A1" w:rsidRDefault="009A2FCF" w:rsidP="00CE13A6">
      <w:pPr>
        <w:pStyle w:val="Sinespaciado"/>
        <w:jc w:val="both"/>
        <w:rPr>
          <w:rFonts w:ascii="Century Gothic" w:hAnsi="Century Gothic"/>
        </w:rPr>
      </w:pPr>
    </w:p>
    <w:p w:rsidR="009A2FCF" w:rsidRPr="003A55A1" w:rsidRDefault="009A2FCF" w:rsidP="00CE13A6">
      <w:pPr>
        <w:pStyle w:val="Sinespaciado"/>
        <w:jc w:val="both"/>
        <w:rPr>
          <w:rFonts w:ascii="Century Gothic" w:hAnsi="Century Gothic"/>
        </w:rPr>
      </w:pPr>
      <w:r w:rsidRPr="003A55A1">
        <w:rPr>
          <w:rFonts w:ascii="Century Gothic" w:hAnsi="Century Gothic"/>
        </w:rPr>
        <w:t>Se cuenta con una bitácora de uso diario de vehículos.</w:t>
      </w:r>
    </w:p>
    <w:p w:rsidR="009A2FCF" w:rsidRPr="003A55A1" w:rsidRDefault="009A2FCF" w:rsidP="00CE13A6">
      <w:pPr>
        <w:pStyle w:val="Sinespaciado"/>
        <w:jc w:val="both"/>
        <w:rPr>
          <w:rFonts w:ascii="Century Gothic" w:hAnsi="Century Gothic"/>
        </w:rPr>
      </w:pPr>
    </w:p>
    <w:p w:rsidR="009A2FCF" w:rsidRPr="003A55A1" w:rsidRDefault="009A2FCF" w:rsidP="00CE13A6">
      <w:pPr>
        <w:pStyle w:val="Sinespaciado"/>
        <w:jc w:val="both"/>
        <w:rPr>
          <w:rFonts w:ascii="Century Gothic" w:hAnsi="Century Gothic"/>
        </w:rPr>
      </w:pPr>
      <w:r w:rsidRPr="003A55A1">
        <w:rPr>
          <w:rFonts w:ascii="Century Gothic" w:hAnsi="Century Gothic"/>
        </w:rPr>
        <w:t>Se tienen asegurados todos los vehículos.</w:t>
      </w:r>
    </w:p>
    <w:p w:rsidR="009A2FCF" w:rsidRPr="003A55A1" w:rsidRDefault="009A2FCF" w:rsidP="00CE13A6">
      <w:pPr>
        <w:pStyle w:val="Sinespaciado"/>
        <w:jc w:val="both"/>
        <w:rPr>
          <w:rFonts w:ascii="Century Gothic" w:hAnsi="Century Gothic"/>
        </w:rPr>
      </w:pPr>
    </w:p>
    <w:p w:rsidR="009A2FCF" w:rsidRPr="003A55A1" w:rsidRDefault="009A2FCF" w:rsidP="00CE13A6">
      <w:pPr>
        <w:pStyle w:val="Sinespaciado"/>
        <w:jc w:val="both"/>
        <w:rPr>
          <w:rFonts w:ascii="Century Gothic" w:hAnsi="Century Gothic"/>
        </w:rPr>
      </w:pPr>
      <w:r w:rsidRPr="003A55A1">
        <w:rPr>
          <w:rFonts w:ascii="Century Gothic" w:hAnsi="Century Gothic"/>
        </w:rPr>
        <w:t xml:space="preserve">El responsable del vehículo deberá contar invariablemente con licencia de conducir. </w:t>
      </w:r>
    </w:p>
    <w:p w:rsidR="009A2FCF" w:rsidRPr="003A55A1" w:rsidRDefault="009A2FCF" w:rsidP="00CE13A6">
      <w:pPr>
        <w:pStyle w:val="Sinespaciado"/>
        <w:jc w:val="both"/>
        <w:rPr>
          <w:rFonts w:ascii="Century Gothic" w:hAnsi="Century Gothic"/>
        </w:rPr>
      </w:pPr>
    </w:p>
    <w:p w:rsidR="009A2FCF" w:rsidRPr="003A55A1" w:rsidRDefault="009A2FCF" w:rsidP="00CE13A6">
      <w:pPr>
        <w:pStyle w:val="Sinespaciado"/>
        <w:jc w:val="both"/>
        <w:rPr>
          <w:rFonts w:ascii="Century Gothic" w:hAnsi="Century Gothic"/>
        </w:rPr>
      </w:pPr>
      <w:r w:rsidRPr="003A55A1">
        <w:rPr>
          <w:rFonts w:ascii="Century Gothic" w:hAnsi="Century Gothic"/>
        </w:rPr>
        <w:t xml:space="preserve">Se lleva un expediente por cada </w:t>
      </w:r>
      <w:r w:rsidR="00174446" w:rsidRPr="003A55A1">
        <w:rPr>
          <w:rFonts w:ascii="Century Gothic" w:hAnsi="Century Gothic"/>
        </w:rPr>
        <w:t>vehículo</w:t>
      </w:r>
      <w:r w:rsidRPr="003A55A1">
        <w:rPr>
          <w:rFonts w:ascii="Century Gothic" w:hAnsi="Century Gothic"/>
        </w:rPr>
        <w:t xml:space="preserve"> que contiene:</w:t>
      </w:r>
    </w:p>
    <w:p w:rsidR="009A2FCF" w:rsidRPr="003A55A1" w:rsidRDefault="009A2FCF" w:rsidP="00CE13A6">
      <w:pPr>
        <w:pStyle w:val="Sinespaciado"/>
        <w:jc w:val="both"/>
        <w:rPr>
          <w:rFonts w:ascii="Century Gothic" w:hAnsi="Century Gothic"/>
        </w:rPr>
      </w:pPr>
    </w:p>
    <w:p w:rsidR="009A2FCF" w:rsidRPr="003A55A1" w:rsidRDefault="009A2FCF" w:rsidP="00CE13A6">
      <w:pPr>
        <w:pStyle w:val="Sinespaciado"/>
        <w:jc w:val="both"/>
        <w:rPr>
          <w:rFonts w:ascii="Century Gothic" w:hAnsi="Century Gothic"/>
        </w:rPr>
      </w:pPr>
      <w:r w:rsidRPr="003A55A1">
        <w:rPr>
          <w:rFonts w:ascii="Century Gothic" w:hAnsi="Century Gothic"/>
        </w:rPr>
        <w:t>Factura de su adquisición</w:t>
      </w:r>
    </w:p>
    <w:p w:rsidR="00174446" w:rsidRPr="003A55A1" w:rsidRDefault="00174446" w:rsidP="00CE13A6">
      <w:pPr>
        <w:pStyle w:val="Sinespaciado"/>
        <w:jc w:val="both"/>
        <w:rPr>
          <w:rFonts w:ascii="Century Gothic" w:hAnsi="Century Gothic"/>
        </w:rPr>
      </w:pPr>
      <w:r w:rsidRPr="003A55A1">
        <w:rPr>
          <w:rFonts w:ascii="Century Gothic" w:hAnsi="Century Gothic"/>
        </w:rPr>
        <w:t xml:space="preserve">Adaptaciones </w:t>
      </w:r>
    </w:p>
    <w:p w:rsidR="00174446" w:rsidRPr="003A55A1" w:rsidRDefault="00174446" w:rsidP="00CE13A6">
      <w:pPr>
        <w:pStyle w:val="Sinespaciado"/>
        <w:jc w:val="both"/>
        <w:rPr>
          <w:rFonts w:ascii="Century Gothic" w:hAnsi="Century Gothic"/>
        </w:rPr>
      </w:pPr>
      <w:r w:rsidRPr="003A55A1">
        <w:rPr>
          <w:rFonts w:ascii="Century Gothic" w:hAnsi="Century Gothic"/>
        </w:rPr>
        <w:t>Pólizas de seguro</w:t>
      </w:r>
    </w:p>
    <w:p w:rsidR="00174446" w:rsidRPr="003A55A1" w:rsidRDefault="00174446" w:rsidP="00CE13A6">
      <w:pPr>
        <w:pStyle w:val="Sinespaciado"/>
        <w:jc w:val="both"/>
        <w:rPr>
          <w:rFonts w:ascii="Century Gothic" w:hAnsi="Century Gothic"/>
        </w:rPr>
      </w:pPr>
      <w:r w:rsidRPr="003A55A1">
        <w:rPr>
          <w:rFonts w:ascii="Century Gothic" w:hAnsi="Century Gothic"/>
        </w:rPr>
        <w:t xml:space="preserve">Copia de la licencia del responsable </w:t>
      </w:r>
    </w:p>
    <w:p w:rsidR="009A2FCF" w:rsidRPr="003A55A1" w:rsidRDefault="00174446" w:rsidP="00CE13A6">
      <w:pPr>
        <w:pStyle w:val="Sinespaciado"/>
        <w:jc w:val="both"/>
        <w:rPr>
          <w:rFonts w:ascii="Century Gothic" w:hAnsi="Century Gothic"/>
        </w:rPr>
      </w:pPr>
      <w:r w:rsidRPr="003A55A1">
        <w:rPr>
          <w:rFonts w:ascii="Century Gothic" w:hAnsi="Century Gothic"/>
        </w:rPr>
        <w:t xml:space="preserve">Pago de verificaciones y refrendo. </w:t>
      </w:r>
      <w:r w:rsidR="009A2FCF" w:rsidRPr="003A55A1">
        <w:rPr>
          <w:rFonts w:ascii="Century Gothic" w:hAnsi="Century Gothic"/>
        </w:rPr>
        <w:t xml:space="preserve">   </w:t>
      </w:r>
    </w:p>
    <w:p w:rsidR="009A2FCF" w:rsidRPr="003A55A1" w:rsidRDefault="009A2FCF" w:rsidP="00CE13A6">
      <w:pPr>
        <w:pStyle w:val="Sinespaciado"/>
        <w:jc w:val="both"/>
        <w:rPr>
          <w:rFonts w:ascii="Century Gothic" w:hAnsi="Century Gothic"/>
        </w:rPr>
      </w:pPr>
    </w:p>
    <w:p w:rsidR="009A2FCF" w:rsidRPr="003A55A1" w:rsidRDefault="009A2FCF" w:rsidP="00CE13A6">
      <w:pPr>
        <w:pStyle w:val="Sinespaciado"/>
        <w:jc w:val="both"/>
        <w:rPr>
          <w:rFonts w:ascii="Century Gothic" w:hAnsi="Century Gothic"/>
        </w:rPr>
      </w:pPr>
    </w:p>
    <w:p w:rsidR="00CE13A6" w:rsidRPr="003A55A1" w:rsidRDefault="00CE13A6" w:rsidP="00CE13A6">
      <w:pPr>
        <w:pStyle w:val="Sinespaciado"/>
        <w:jc w:val="both"/>
        <w:rPr>
          <w:rFonts w:ascii="Century Gothic" w:hAnsi="Century Gothic"/>
        </w:rPr>
      </w:pPr>
    </w:p>
    <w:p w:rsidR="00CE13A6" w:rsidRPr="003A55A1" w:rsidRDefault="00CE13A6" w:rsidP="00CE13A6">
      <w:pPr>
        <w:pStyle w:val="Sinespaciado"/>
        <w:jc w:val="both"/>
        <w:rPr>
          <w:rFonts w:ascii="Century Gothic" w:hAnsi="Century Gothic"/>
        </w:rPr>
      </w:pPr>
      <w:r w:rsidRPr="003A55A1">
        <w:rPr>
          <w:rFonts w:ascii="Century Gothic" w:hAnsi="Century Gothic"/>
        </w:rPr>
        <w:t>b) Medidas de desempeño financiero, metas y alcance:</w:t>
      </w:r>
    </w:p>
    <w:p w:rsidR="00CE13A6" w:rsidRPr="003A55A1" w:rsidRDefault="00CE13A6" w:rsidP="00CE13A6">
      <w:pPr>
        <w:pStyle w:val="Sinespaciado"/>
        <w:jc w:val="both"/>
        <w:rPr>
          <w:rFonts w:ascii="Century Gothic" w:hAnsi="Century Gothic"/>
        </w:rPr>
      </w:pPr>
    </w:p>
    <w:p w:rsidR="00CE13A6" w:rsidRPr="003A55A1" w:rsidRDefault="00CE13A6" w:rsidP="00CE13A6">
      <w:pPr>
        <w:pStyle w:val="Sinespaciado"/>
        <w:jc w:val="both"/>
        <w:rPr>
          <w:rFonts w:ascii="Century Gothic" w:hAnsi="Century Gothic"/>
        </w:rPr>
      </w:pPr>
      <w:r w:rsidRPr="003A55A1">
        <w:rPr>
          <w:rFonts w:ascii="Century Gothic" w:hAnsi="Century Gothic"/>
        </w:rPr>
        <w:t xml:space="preserve">Se está en continuo proceso de disminución de gastos e implementación de medidas de austeridad.  </w:t>
      </w:r>
      <w:r w:rsidR="00D267EC" w:rsidRPr="003A55A1">
        <w:rPr>
          <w:rFonts w:ascii="Century Gothic" w:hAnsi="Century Gothic"/>
        </w:rPr>
        <w:t>A la fecha el CONAC ha emitido diversa reglamentación que regula el registro contable y presupuestal de las operaciones de las entidades en los tres ámbitos de gobierno con un enfoque progresivo de aplicabilidad, y de la cual se encuentra en proceso de aplicación en el Patronato.</w:t>
      </w:r>
    </w:p>
    <w:p w:rsidR="00CE13A6" w:rsidRPr="003A55A1" w:rsidRDefault="00CE13A6" w:rsidP="00CE13A6">
      <w:pPr>
        <w:pStyle w:val="Sinespaciado"/>
        <w:jc w:val="both"/>
        <w:rPr>
          <w:rFonts w:ascii="Century Gothic" w:hAnsi="Century Gothic"/>
        </w:rPr>
      </w:pPr>
      <w:r w:rsidRPr="003A55A1">
        <w:rPr>
          <w:rFonts w:ascii="Century Gothic" w:hAnsi="Century Gothic"/>
        </w:rPr>
        <w:tab/>
      </w:r>
      <w:r w:rsidRPr="003A55A1">
        <w:rPr>
          <w:rFonts w:ascii="Century Gothic" w:hAnsi="Century Gothic"/>
        </w:rPr>
        <w:tab/>
      </w:r>
      <w:r w:rsidRPr="003A55A1">
        <w:rPr>
          <w:rFonts w:ascii="Century Gothic" w:hAnsi="Century Gothic"/>
        </w:rPr>
        <w:tab/>
      </w:r>
    </w:p>
    <w:p w:rsidR="00CE13A6" w:rsidRPr="003A55A1" w:rsidRDefault="00CE13A6" w:rsidP="00CE13A6">
      <w:pPr>
        <w:pStyle w:val="Sinespaciado"/>
        <w:jc w:val="both"/>
        <w:rPr>
          <w:rFonts w:ascii="Century Gothic" w:hAnsi="Century Gothic"/>
        </w:rPr>
      </w:pPr>
      <w:r w:rsidRPr="003A55A1">
        <w:rPr>
          <w:rFonts w:ascii="Century Gothic" w:hAnsi="Century Gothic"/>
          <w:b/>
          <w:u w:val="single"/>
        </w:rPr>
        <w:t>14. Información por Segmentos</w:t>
      </w:r>
      <w:r w:rsidRPr="003A55A1">
        <w:rPr>
          <w:rFonts w:ascii="Century Gothic" w:hAnsi="Century Gothic"/>
        </w:rPr>
        <w:t>:</w:t>
      </w:r>
      <w:r w:rsidRPr="003A55A1">
        <w:rPr>
          <w:rFonts w:ascii="Century Gothic" w:hAnsi="Century Gothic"/>
        </w:rPr>
        <w:tab/>
      </w:r>
      <w:r w:rsidRPr="003A55A1">
        <w:rPr>
          <w:rFonts w:ascii="Century Gothic" w:hAnsi="Century Gothic"/>
        </w:rPr>
        <w:tab/>
      </w:r>
      <w:r w:rsidRPr="003A55A1">
        <w:rPr>
          <w:rFonts w:ascii="Century Gothic" w:hAnsi="Century Gothic"/>
        </w:rPr>
        <w:tab/>
      </w:r>
    </w:p>
    <w:p w:rsidR="00CE13A6" w:rsidRPr="003A55A1" w:rsidRDefault="00CE13A6" w:rsidP="00CE13A6">
      <w:pPr>
        <w:pStyle w:val="Sinespaciado"/>
        <w:jc w:val="both"/>
        <w:rPr>
          <w:rFonts w:ascii="Century Gothic" w:hAnsi="Century Gothic"/>
        </w:rPr>
      </w:pPr>
    </w:p>
    <w:p w:rsidR="00CE13A6" w:rsidRPr="003A55A1" w:rsidRDefault="00D267EC" w:rsidP="00CE13A6">
      <w:pPr>
        <w:pStyle w:val="Sinespaciado"/>
        <w:jc w:val="both"/>
        <w:rPr>
          <w:rFonts w:ascii="Century Gothic" w:hAnsi="Century Gothic"/>
        </w:rPr>
      </w:pPr>
      <w:r w:rsidRPr="003A55A1">
        <w:rPr>
          <w:rFonts w:ascii="Century Gothic" w:hAnsi="Century Gothic"/>
        </w:rPr>
        <w:t>El Patronato no tiene  segmentos operativos por los  que  se deba  de  proporcionar información segmentada.</w:t>
      </w:r>
      <w:r w:rsidR="00CE13A6" w:rsidRPr="003A55A1">
        <w:rPr>
          <w:rFonts w:ascii="Century Gothic" w:hAnsi="Century Gothic"/>
        </w:rPr>
        <w:tab/>
      </w:r>
      <w:r w:rsidR="00CE13A6" w:rsidRPr="003A55A1">
        <w:rPr>
          <w:rFonts w:ascii="Century Gothic" w:hAnsi="Century Gothic"/>
        </w:rPr>
        <w:tab/>
      </w:r>
      <w:r w:rsidR="00CE13A6" w:rsidRPr="003A55A1">
        <w:rPr>
          <w:rFonts w:ascii="Century Gothic" w:hAnsi="Century Gothic"/>
        </w:rPr>
        <w:tab/>
      </w:r>
    </w:p>
    <w:p w:rsidR="00CE13A6" w:rsidRPr="003A55A1" w:rsidRDefault="00CE13A6" w:rsidP="00CE13A6">
      <w:pPr>
        <w:pStyle w:val="Sinespaciado"/>
        <w:jc w:val="both"/>
        <w:rPr>
          <w:rFonts w:ascii="Century Gothic" w:hAnsi="Century Gothic"/>
        </w:rPr>
      </w:pPr>
    </w:p>
    <w:p w:rsidR="00CE13A6" w:rsidRPr="003A55A1" w:rsidRDefault="00CE13A6" w:rsidP="00CE13A6">
      <w:pPr>
        <w:pStyle w:val="Sinespaciado"/>
        <w:jc w:val="both"/>
        <w:rPr>
          <w:rFonts w:ascii="Century Gothic" w:hAnsi="Century Gothic"/>
        </w:rPr>
      </w:pPr>
    </w:p>
    <w:p w:rsidR="00CE13A6" w:rsidRPr="003A55A1" w:rsidRDefault="00CE13A6" w:rsidP="00CE13A6">
      <w:pPr>
        <w:pStyle w:val="Sinespaciado"/>
        <w:jc w:val="both"/>
        <w:rPr>
          <w:rFonts w:ascii="Century Gothic" w:hAnsi="Century Gothic"/>
        </w:rPr>
      </w:pPr>
      <w:r w:rsidRPr="003A55A1">
        <w:rPr>
          <w:rFonts w:ascii="Century Gothic" w:hAnsi="Century Gothic"/>
          <w:b/>
          <w:u w:val="single"/>
        </w:rPr>
        <w:t>15. Eventos Posteriores al Cierre</w:t>
      </w:r>
      <w:r w:rsidRPr="003A55A1">
        <w:rPr>
          <w:rFonts w:ascii="Century Gothic" w:hAnsi="Century Gothic"/>
        </w:rPr>
        <w:t>:</w:t>
      </w:r>
      <w:r w:rsidRPr="003A55A1">
        <w:rPr>
          <w:rFonts w:ascii="Century Gothic" w:hAnsi="Century Gothic"/>
        </w:rPr>
        <w:tab/>
      </w:r>
      <w:r w:rsidRPr="003A55A1">
        <w:rPr>
          <w:rFonts w:ascii="Century Gothic" w:hAnsi="Century Gothic"/>
        </w:rPr>
        <w:tab/>
      </w:r>
      <w:r w:rsidRPr="003A55A1">
        <w:rPr>
          <w:rFonts w:ascii="Century Gothic" w:hAnsi="Century Gothic"/>
        </w:rPr>
        <w:tab/>
      </w:r>
    </w:p>
    <w:p w:rsidR="00CE13A6" w:rsidRPr="003A55A1" w:rsidRDefault="00CE13A6" w:rsidP="00CE13A6">
      <w:pPr>
        <w:pStyle w:val="Sinespaciado"/>
        <w:jc w:val="both"/>
        <w:rPr>
          <w:rFonts w:ascii="Century Gothic" w:hAnsi="Century Gothic"/>
        </w:rPr>
      </w:pPr>
    </w:p>
    <w:p w:rsidR="00D267EC" w:rsidRPr="003A55A1" w:rsidRDefault="006D493B" w:rsidP="00CE13A6">
      <w:pPr>
        <w:pStyle w:val="Sinespaciado"/>
        <w:jc w:val="both"/>
        <w:rPr>
          <w:rFonts w:ascii="Century Gothic" w:hAnsi="Century Gothic"/>
        </w:rPr>
      </w:pPr>
      <w:r w:rsidRPr="003A55A1">
        <w:rPr>
          <w:rFonts w:ascii="Century Gothic" w:hAnsi="Century Gothic"/>
        </w:rPr>
        <w:t>No hay  eventos posteriores de importancia  a  revelar, excepto el cambio de Consejo Directivo.</w:t>
      </w:r>
    </w:p>
    <w:p w:rsidR="00D267EC" w:rsidRPr="003A55A1" w:rsidRDefault="00D267EC" w:rsidP="00CE13A6">
      <w:pPr>
        <w:pStyle w:val="Sinespaciado"/>
        <w:jc w:val="both"/>
        <w:rPr>
          <w:rFonts w:ascii="Century Gothic" w:hAnsi="Century Gothic"/>
        </w:rPr>
      </w:pPr>
    </w:p>
    <w:p w:rsidR="00CE13A6" w:rsidRPr="003A55A1" w:rsidRDefault="00CE13A6" w:rsidP="001B594C">
      <w:pPr>
        <w:pStyle w:val="Sinespaciado"/>
        <w:jc w:val="both"/>
        <w:rPr>
          <w:rFonts w:ascii="Century Gothic" w:hAnsi="Century Gothic"/>
        </w:rPr>
      </w:pPr>
      <w:r w:rsidRPr="003A55A1">
        <w:rPr>
          <w:rFonts w:ascii="Century Gothic" w:hAnsi="Century Gothic"/>
        </w:rPr>
        <w:lastRenderedPageBreak/>
        <w:tab/>
      </w:r>
    </w:p>
    <w:p w:rsidR="00CE13A6" w:rsidRPr="003A55A1" w:rsidRDefault="00CE13A6" w:rsidP="00CE13A6">
      <w:pPr>
        <w:pStyle w:val="Sinespaciado"/>
        <w:jc w:val="both"/>
        <w:rPr>
          <w:rFonts w:ascii="Century Gothic" w:hAnsi="Century Gothic"/>
        </w:rPr>
      </w:pPr>
    </w:p>
    <w:p w:rsidR="00CE13A6" w:rsidRPr="003A55A1" w:rsidRDefault="00CE13A6" w:rsidP="00CE13A6">
      <w:pPr>
        <w:pStyle w:val="Sinespaciado"/>
        <w:jc w:val="both"/>
        <w:rPr>
          <w:rFonts w:ascii="Century Gothic" w:hAnsi="Century Gothic"/>
        </w:rPr>
      </w:pPr>
      <w:r w:rsidRPr="003A55A1">
        <w:rPr>
          <w:rFonts w:ascii="Century Gothic" w:hAnsi="Century Gothic"/>
          <w:b/>
          <w:u w:val="single"/>
        </w:rPr>
        <w:t>16. Partes Relacionadas</w:t>
      </w:r>
      <w:r w:rsidRPr="003A55A1">
        <w:rPr>
          <w:rFonts w:ascii="Century Gothic" w:hAnsi="Century Gothic"/>
        </w:rPr>
        <w:t>:</w:t>
      </w:r>
      <w:r w:rsidRPr="003A55A1">
        <w:rPr>
          <w:rFonts w:ascii="Century Gothic" w:hAnsi="Century Gothic"/>
        </w:rPr>
        <w:tab/>
      </w:r>
      <w:r w:rsidRPr="003A55A1">
        <w:rPr>
          <w:rFonts w:ascii="Century Gothic" w:hAnsi="Century Gothic"/>
        </w:rPr>
        <w:tab/>
      </w:r>
      <w:r w:rsidRPr="003A55A1">
        <w:rPr>
          <w:rFonts w:ascii="Century Gothic" w:hAnsi="Century Gothic"/>
        </w:rPr>
        <w:tab/>
      </w:r>
    </w:p>
    <w:p w:rsidR="00CE13A6" w:rsidRPr="003A55A1" w:rsidRDefault="00CE13A6" w:rsidP="00CE13A6">
      <w:pPr>
        <w:pStyle w:val="Sinespaciado"/>
        <w:jc w:val="both"/>
        <w:rPr>
          <w:rFonts w:ascii="Century Gothic" w:hAnsi="Century Gothic"/>
        </w:rPr>
      </w:pPr>
    </w:p>
    <w:p w:rsidR="00CE13A6" w:rsidRPr="003A55A1" w:rsidRDefault="00AA24B2" w:rsidP="00CE13A6">
      <w:pPr>
        <w:pStyle w:val="Sinespaciado"/>
        <w:jc w:val="both"/>
        <w:rPr>
          <w:rFonts w:ascii="Century Gothic" w:hAnsi="Century Gothic"/>
        </w:rPr>
      </w:pPr>
      <w:r w:rsidRPr="003A55A1">
        <w:rPr>
          <w:rFonts w:ascii="Century Gothic" w:hAnsi="Century Gothic"/>
        </w:rPr>
        <w:t>N</w:t>
      </w:r>
      <w:r w:rsidR="00CE13A6" w:rsidRPr="003A55A1">
        <w:rPr>
          <w:rFonts w:ascii="Century Gothic" w:hAnsi="Century Gothic"/>
        </w:rPr>
        <w:t>o existen partes relacionadas que pudieran ejercer influencia significativa sobre la toma de decisiones financieras y operativas</w:t>
      </w:r>
      <w:r w:rsidRPr="003A55A1">
        <w:rPr>
          <w:rFonts w:ascii="Century Gothic" w:hAnsi="Century Gothic"/>
        </w:rPr>
        <w:t xml:space="preserve"> del </w:t>
      </w:r>
      <w:r w:rsidR="0023786A" w:rsidRPr="003A55A1">
        <w:rPr>
          <w:rFonts w:ascii="Century Gothic" w:hAnsi="Century Gothic"/>
        </w:rPr>
        <w:t>P</w:t>
      </w:r>
      <w:r w:rsidRPr="003A55A1">
        <w:rPr>
          <w:rFonts w:ascii="Century Gothic" w:hAnsi="Century Gothic"/>
        </w:rPr>
        <w:t>atronato</w:t>
      </w:r>
      <w:r w:rsidR="0023786A" w:rsidRPr="003A55A1">
        <w:rPr>
          <w:rFonts w:ascii="Century Gothic" w:hAnsi="Century Gothic"/>
        </w:rPr>
        <w:t>.</w:t>
      </w:r>
    </w:p>
    <w:p w:rsidR="00CE13A6" w:rsidRPr="003A55A1" w:rsidRDefault="00CE13A6" w:rsidP="00CE13A6">
      <w:pPr>
        <w:pStyle w:val="Sinespaciado"/>
        <w:jc w:val="both"/>
        <w:rPr>
          <w:rFonts w:ascii="Century Gothic" w:hAnsi="Century Gothic"/>
        </w:rPr>
      </w:pPr>
    </w:p>
    <w:p w:rsidR="00AA24B2" w:rsidRPr="003A55A1" w:rsidRDefault="00AA24B2" w:rsidP="00AA24B2">
      <w:pPr>
        <w:pStyle w:val="Sinespaciado"/>
        <w:jc w:val="both"/>
        <w:rPr>
          <w:rFonts w:ascii="Century Gothic" w:hAnsi="Century Gothic"/>
        </w:rPr>
      </w:pPr>
      <w:r w:rsidRPr="003A55A1">
        <w:rPr>
          <w:rFonts w:ascii="Century Gothic" w:hAnsi="Century Gothic"/>
          <w:b/>
          <w:u w:val="single"/>
        </w:rPr>
        <w:t>16. Otras Notas</w:t>
      </w:r>
      <w:r w:rsidRPr="003A55A1">
        <w:rPr>
          <w:rFonts w:ascii="Century Gothic" w:hAnsi="Century Gothic"/>
        </w:rPr>
        <w:t>:</w:t>
      </w:r>
      <w:r w:rsidRPr="003A55A1">
        <w:rPr>
          <w:rFonts w:ascii="Century Gothic" w:hAnsi="Century Gothic"/>
        </w:rPr>
        <w:tab/>
      </w:r>
      <w:r w:rsidRPr="003A55A1">
        <w:rPr>
          <w:rFonts w:ascii="Century Gothic" w:hAnsi="Century Gothic"/>
        </w:rPr>
        <w:tab/>
      </w:r>
      <w:r w:rsidRPr="003A55A1">
        <w:rPr>
          <w:rFonts w:ascii="Century Gothic" w:hAnsi="Century Gothic"/>
        </w:rPr>
        <w:tab/>
      </w:r>
    </w:p>
    <w:p w:rsidR="00AA24B2" w:rsidRPr="003A55A1" w:rsidRDefault="00AA24B2" w:rsidP="00CE13A6">
      <w:pPr>
        <w:pStyle w:val="Sinespaciado"/>
        <w:jc w:val="both"/>
        <w:rPr>
          <w:rFonts w:ascii="Century Gothic" w:hAnsi="Century Gothic"/>
        </w:rPr>
      </w:pPr>
    </w:p>
    <w:p w:rsidR="00C04236" w:rsidRPr="003A55A1" w:rsidRDefault="00C04236" w:rsidP="00C04236">
      <w:pPr>
        <w:jc w:val="both"/>
        <w:rPr>
          <w:rFonts w:ascii="Century Gothic" w:hAnsi="Century Gothic" w:cs="Calibri"/>
        </w:rPr>
      </w:pPr>
      <w:r w:rsidRPr="003A55A1">
        <w:rPr>
          <w:rFonts w:ascii="Century Gothic" w:hAnsi="Century Gothic" w:cs="Calibri"/>
        </w:rPr>
        <w:t>En el Estado de flujos de efectivo del mes de enero de 2019 en ACTIVIDADES DE FINANCIAMIENTO en ORIGEN en otros orígenes de financiamiento se agruparon  las variaciones de saldos  de varias cuentas de balance tales como; IVA a favor, subsidio para el empleo, deudores diversos por cobrar a corto plazo, ISR del ejercicio por pagar, otras cuentas por pagar a corto plazo y los anticipos a proveedores por adquisición de bienes y servicios, ya que el formato no trae un rubro en el que se puedan incorporar éstas.</w:t>
      </w:r>
    </w:p>
    <w:p w:rsidR="00C04236" w:rsidRPr="003A55A1" w:rsidRDefault="00C04236" w:rsidP="00C04236">
      <w:pPr>
        <w:jc w:val="both"/>
        <w:rPr>
          <w:rFonts w:ascii="Century Gothic" w:hAnsi="Century Gothic" w:cs="Calibri"/>
        </w:rPr>
      </w:pPr>
      <w:r w:rsidRPr="003A55A1">
        <w:rPr>
          <w:rFonts w:ascii="Century Gothic" w:hAnsi="Century Gothic" w:cs="Calibri"/>
        </w:rPr>
        <w:t>Los otros orígenes de financiamiento por la cantidad de $</w:t>
      </w:r>
      <w:r w:rsidR="008B7676" w:rsidRPr="003A55A1">
        <w:rPr>
          <w:rFonts w:ascii="Century Gothic" w:hAnsi="Century Gothic" w:cs="Calibri"/>
        </w:rPr>
        <w:t xml:space="preserve">7,375,675.60 </w:t>
      </w:r>
      <w:r w:rsidRPr="003A55A1">
        <w:rPr>
          <w:rFonts w:ascii="Century Gothic" w:hAnsi="Century Gothic" w:cs="Calibri"/>
        </w:rPr>
        <w:t xml:space="preserve">se integra de la suma neta de: </w:t>
      </w:r>
    </w:p>
    <w:p w:rsidR="00C04236" w:rsidRPr="003A55A1" w:rsidRDefault="00C04236" w:rsidP="00C04236">
      <w:pPr>
        <w:jc w:val="both"/>
        <w:rPr>
          <w:rFonts w:ascii="Century Gothic" w:hAnsi="Century Gothic" w:cs="Calibri"/>
          <w:sz w:val="16"/>
          <w:szCs w:val="16"/>
        </w:rPr>
      </w:pPr>
      <w:r w:rsidRPr="003A55A1">
        <w:rPr>
          <w:rFonts w:ascii="Century Gothic" w:eastAsia="Times New Roman" w:hAnsi="Century Gothic"/>
          <w:color w:val="000000"/>
          <w:sz w:val="16"/>
          <w:szCs w:val="16"/>
          <w:lang w:val="es-MX" w:eastAsia="es-MX"/>
        </w:rPr>
        <w:t xml:space="preserve"> </w:t>
      </w:r>
      <w:r w:rsidRPr="003A55A1">
        <w:rPr>
          <w:rFonts w:ascii="Cambria" w:eastAsia="Times New Roman" w:hAnsi="Cambria"/>
          <w:color w:val="000000"/>
          <w:sz w:val="16"/>
          <w:szCs w:val="16"/>
          <w:lang w:val="es-MX" w:eastAsia="es-MX"/>
        </w:rPr>
        <w:t xml:space="preserve">Las </w:t>
      </w:r>
      <w:r w:rsidRPr="003A55A1">
        <w:rPr>
          <w:rFonts w:ascii="Century Gothic" w:hAnsi="Century Gothic" w:cs="Calibri"/>
          <w:sz w:val="16"/>
          <w:szCs w:val="16"/>
        </w:rPr>
        <w:t>variaciones (aplicación neta) de saldos de varias cuentas de balance tales como;</w:t>
      </w:r>
      <w:r w:rsidRPr="003A55A1">
        <w:rPr>
          <w:rFonts w:ascii="Century Gothic" w:eastAsia="Times New Roman" w:hAnsi="Century Gothic"/>
          <w:color w:val="000000"/>
          <w:sz w:val="16"/>
          <w:szCs w:val="16"/>
          <w:lang w:val="es-MX" w:eastAsia="es-MX"/>
        </w:rPr>
        <w:t xml:space="preserve"> 113100000000000000000 Anticipo a proveedores por adquisición de bienes y servicios</w:t>
      </w:r>
      <w:r w:rsidRPr="003A55A1">
        <w:rPr>
          <w:rFonts w:ascii="Century Gothic" w:hAnsi="Century Gothic" w:cs="Calibri"/>
          <w:sz w:val="16"/>
          <w:szCs w:val="16"/>
        </w:rPr>
        <w:t xml:space="preserve"> IVA a favor, subsidio para el empleo, deudores diversos por cobrar a corto plazo, ISR del ejercicio por pagar, SAT y otras cuentas por pagar a corto plazo   por importe de - $</w:t>
      </w:r>
      <w:r w:rsidR="008B7676" w:rsidRPr="003A55A1">
        <w:rPr>
          <w:rFonts w:ascii="Century Gothic" w:hAnsi="Century Gothic" w:cs="Calibri"/>
          <w:sz w:val="16"/>
          <w:szCs w:val="16"/>
        </w:rPr>
        <w:t>7,340,707.47</w:t>
      </w:r>
      <w:r w:rsidRPr="003A55A1">
        <w:rPr>
          <w:rFonts w:ascii="Century Gothic" w:hAnsi="Century Gothic" w:cs="Calibri"/>
          <w:sz w:val="16"/>
          <w:szCs w:val="16"/>
        </w:rPr>
        <w:t xml:space="preserve"> así como  la cuenta de otros gastos considerada en otras perdidas y gastos extraordinarios  </w:t>
      </w:r>
      <w:r w:rsidR="008B7676" w:rsidRPr="003A55A1">
        <w:rPr>
          <w:rFonts w:ascii="Century Gothic" w:hAnsi="Century Gothic" w:cs="Calibri"/>
          <w:sz w:val="16"/>
          <w:szCs w:val="16"/>
        </w:rPr>
        <w:t>por la cantidad de –34,968.13</w:t>
      </w:r>
      <w:r w:rsidRPr="003A55A1">
        <w:rPr>
          <w:rFonts w:ascii="Century Gothic" w:hAnsi="Century Gothic" w:cs="Calibri"/>
          <w:sz w:val="16"/>
          <w:szCs w:val="16"/>
        </w:rPr>
        <w:t xml:space="preserve"> derivadas  de difere</w:t>
      </w:r>
      <w:r w:rsidR="00B4045A" w:rsidRPr="003A55A1">
        <w:rPr>
          <w:rFonts w:ascii="Century Gothic" w:hAnsi="Century Gothic" w:cs="Calibri"/>
          <w:sz w:val="16"/>
          <w:szCs w:val="16"/>
        </w:rPr>
        <w:t>ncias por tipo de cambio  negativas</w:t>
      </w:r>
      <w:r w:rsidRPr="003A55A1">
        <w:rPr>
          <w:rFonts w:ascii="Century Gothic" w:hAnsi="Century Gothic" w:cs="Calibri"/>
          <w:sz w:val="16"/>
          <w:szCs w:val="16"/>
        </w:rPr>
        <w:t xml:space="preserve"> en la valuación de la cuenta Banorte dólares.</w:t>
      </w:r>
    </w:p>
    <w:p w:rsidR="00C04236" w:rsidRPr="003A55A1" w:rsidRDefault="00C04236" w:rsidP="00C04236">
      <w:pPr>
        <w:jc w:val="both"/>
        <w:rPr>
          <w:rFonts w:ascii="Century Gothic" w:hAnsi="Century Gothic"/>
        </w:rPr>
      </w:pPr>
      <w:r w:rsidRPr="003A55A1">
        <w:rPr>
          <w:rFonts w:ascii="Century Gothic" w:hAnsi="Century Gothic" w:cs="Calibri"/>
        </w:rPr>
        <w:t>El estado de flujos de efectivo del me</w:t>
      </w:r>
      <w:r w:rsidR="00AA46B0" w:rsidRPr="003A55A1">
        <w:rPr>
          <w:rFonts w:ascii="Century Gothic" w:hAnsi="Century Gothic" w:cs="Calibri"/>
        </w:rPr>
        <w:t>s de enero de 2019</w:t>
      </w:r>
      <w:r w:rsidRPr="003A55A1">
        <w:rPr>
          <w:rFonts w:ascii="Century Gothic" w:hAnsi="Century Gothic" w:cs="Calibri"/>
        </w:rPr>
        <w:t xml:space="preserve"> en lo relativo al renglón de bienes </w:t>
      </w:r>
      <w:r w:rsidR="00B4045A" w:rsidRPr="003A55A1">
        <w:rPr>
          <w:rFonts w:ascii="Century Gothic" w:hAnsi="Century Gothic" w:cs="Calibri"/>
        </w:rPr>
        <w:t>in</w:t>
      </w:r>
      <w:r w:rsidRPr="003A55A1">
        <w:rPr>
          <w:rFonts w:ascii="Century Gothic" w:hAnsi="Century Gothic" w:cs="Calibri"/>
        </w:rPr>
        <w:t>muebles</w:t>
      </w:r>
      <w:r w:rsidR="00AA46B0" w:rsidRPr="003A55A1">
        <w:t xml:space="preserve"> </w:t>
      </w:r>
      <w:r w:rsidR="00AA46B0" w:rsidRPr="003A55A1">
        <w:rPr>
          <w:rFonts w:ascii="Century Gothic" w:hAnsi="Century Gothic" w:cs="Calibri"/>
        </w:rPr>
        <w:t>Infraestructura y Construcciones en Proceso</w:t>
      </w:r>
      <w:r w:rsidRPr="003A55A1">
        <w:rPr>
          <w:rFonts w:ascii="Century Gothic" w:hAnsi="Century Gothic" w:cs="Calibri"/>
        </w:rPr>
        <w:t xml:space="preserve"> no coincide con la nota EFE-02, debido a que en el mencionado estado, no se consideró </w:t>
      </w:r>
      <w:r w:rsidR="006D66EB" w:rsidRPr="003A55A1">
        <w:rPr>
          <w:rFonts w:ascii="Century Gothic" w:hAnsi="Century Gothic" w:cs="Calibri"/>
        </w:rPr>
        <w:t xml:space="preserve">el registro de la provisión de la estimación num 1 finiquito a nombre de agropecuaria ambiental del bajío, SPR de RL,  por concepto de manejo de arbolado para habilitar superficie de estacionamiento en las instalaciones de la feria por la cantidad de $444,100.00 más IVA </w:t>
      </w:r>
      <w:r w:rsidRPr="003A55A1">
        <w:rPr>
          <w:rFonts w:ascii="Century Gothic" w:hAnsi="Century Gothic"/>
        </w:rPr>
        <w:t>la cual se</w:t>
      </w:r>
      <w:r w:rsidR="006D66EB" w:rsidRPr="003A55A1">
        <w:rPr>
          <w:rFonts w:ascii="Century Gothic" w:hAnsi="Century Gothic"/>
        </w:rPr>
        <w:t xml:space="preserve"> devengó registrándose</w:t>
      </w:r>
      <w:r w:rsidRPr="003A55A1">
        <w:rPr>
          <w:rFonts w:ascii="Century Gothic" w:hAnsi="Century Gothic"/>
        </w:rPr>
        <w:t xml:space="preserve"> en activo no circulante en bienes </w:t>
      </w:r>
      <w:r w:rsidR="006D66EB" w:rsidRPr="003A55A1">
        <w:rPr>
          <w:rFonts w:ascii="Century Gothic" w:hAnsi="Century Gothic"/>
        </w:rPr>
        <w:t>in</w:t>
      </w:r>
      <w:r w:rsidRPr="003A55A1">
        <w:rPr>
          <w:rFonts w:ascii="Century Gothic" w:hAnsi="Century Gothic"/>
        </w:rPr>
        <w:t>muebles</w:t>
      </w:r>
      <w:r w:rsidR="006D66EB" w:rsidRPr="003A55A1">
        <w:rPr>
          <w:rFonts w:ascii="Century Gothic" w:hAnsi="Century Gothic"/>
        </w:rPr>
        <w:t xml:space="preserve"> en obra en proceso, pendiente de pago </w:t>
      </w:r>
      <w:r w:rsidRPr="003A55A1">
        <w:rPr>
          <w:rFonts w:ascii="Century Gothic" w:hAnsi="Century Gothic"/>
        </w:rPr>
        <w:t>, no generando flujo de efectivo.</w:t>
      </w:r>
    </w:p>
    <w:p w:rsidR="006B605C" w:rsidRPr="003A55A1" w:rsidRDefault="006B605C" w:rsidP="006B605C">
      <w:pPr>
        <w:jc w:val="both"/>
        <w:rPr>
          <w:rFonts w:ascii="Century Gothic" w:hAnsi="Century Gothic" w:cs="Calibri"/>
        </w:rPr>
      </w:pPr>
      <w:r w:rsidRPr="003A55A1">
        <w:rPr>
          <w:rFonts w:ascii="Century Gothic" w:hAnsi="Century Gothic" w:cs="Calibri"/>
        </w:rPr>
        <w:t xml:space="preserve">Con fechas 3 y 23 de enero de 2019 se efectuó el tercer y cuarto pago finiquito por 53,746 dólares USD cada uno  más la comisión de 34.80 </w:t>
      </w:r>
      <w:r w:rsidR="00EA06C2" w:rsidRPr="003A55A1">
        <w:rPr>
          <w:rFonts w:ascii="Century Gothic" w:hAnsi="Century Gothic" w:cs="Calibri"/>
        </w:rPr>
        <w:t>dólares</w:t>
      </w:r>
      <w:r w:rsidRPr="003A55A1">
        <w:rPr>
          <w:rFonts w:ascii="Century Gothic" w:hAnsi="Century Gothic" w:cs="Calibri"/>
        </w:rPr>
        <w:t xml:space="preserve"> USD que nos cobra Banorte por la transferencia internacional de fondos directamente en el portal bancario, para cumplir con los compromisos de pago, establecidos en el contrato, del espectáculo internacional ABRAZOS para feria 2019, valuandose al tipo de cambio publicado en el diario oficial de la federación de los días 3 y 23 de enero de 2019 que fueron de 19.5878 y 19.1297 , absorbiéndose como gasto la perdida cambiaria por diferencias en el tipo de cambio negativas del dólar respecto al peso por la cantidad total de  $3,700.11, y 28,337.10, respectivamente,  respecto de la última valuación efectuada el 31 de diciembre de 2018. </w:t>
      </w:r>
    </w:p>
    <w:p w:rsidR="006B605C" w:rsidRPr="003A55A1" w:rsidRDefault="006B605C" w:rsidP="00C04236">
      <w:pPr>
        <w:spacing w:before="100" w:beforeAutospacing="1" w:after="100" w:afterAutospacing="1" w:line="240" w:lineRule="auto"/>
        <w:jc w:val="both"/>
        <w:rPr>
          <w:rFonts w:ascii="Century Gothic" w:hAnsi="Century Gothic" w:cs="Calibri"/>
        </w:rPr>
      </w:pPr>
    </w:p>
    <w:p w:rsidR="00C04236" w:rsidRPr="003A55A1" w:rsidRDefault="006D66EB" w:rsidP="00C04236">
      <w:pPr>
        <w:spacing w:before="100" w:beforeAutospacing="1" w:after="100" w:afterAutospacing="1" w:line="240" w:lineRule="auto"/>
        <w:jc w:val="both"/>
        <w:rPr>
          <w:rFonts w:ascii="Century Gothic" w:hAnsi="Century Gothic" w:cs="Calibri"/>
        </w:rPr>
      </w:pPr>
      <w:r w:rsidRPr="003A55A1">
        <w:rPr>
          <w:rFonts w:ascii="Century Gothic" w:hAnsi="Century Gothic" w:cs="Calibri"/>
        </w:rPr>
        <w:t>Al cierre del mes de enero de 2019</w:t>
      </w:r>
      <w:r w:rsidR="00C04236" w:rsidRPr="003A55A1">
        <w:rPr>
          <w:rFonts w:ascii="Century Gothic" w:hAnsi="Century Gothic" w:cs="Calibri"/>
        </w:rPr>
        <w:t>, se efectuó la valuación de la cuenta '11120-0006-0000-00000-001</w:t>
      </w:r>
      <w:r w:rsidR="00C04236" w:rsidRPr="003A55A1">
        <w:t xml:space="preserve"> </w:t>
      </w:r>
      <w:r w:rsidR="00C04236" w:rsidRPr="003A55A1">
        <w:rPr>
          <w:rFonts w:ascii="Century Gothic" w:hAnsi="Century Gothic" w:cs="Calibri"/>
        </w:rPr>
        <w:t>banco Banorte  dólares</w:t>
      </w:r>
      <w:r w:rsidRPr="003A55A1">
        <w:rPr>
          <w:rFonts w:ascii="Century Gothic" w:hAnsi="Century Gothic" w:cs="Calibri"/>
        </w:rPr>
        <w:t xml:space="preserve"> </w:t>
      </w:r>
      <w:r w:rsidR="0089511C" w:rsidRPr="003A55A1">
        <w:rPr>
          <w:rFonts w:ascii="Century Gothic" w:hAnsi="Century Gothic" w:cs="Calibri"/>
        </w:rPr>
        <w:t>2,408.72</w:t>
      </w:r>
      <w:r w:rsidR="00C04236" w:rsidRPr="003A55A1">
        <w:rPr>
          <w:rFonts w:ascii="Century Gothic" w:hAnsi="Century Gothic" w:cs="Calibri"/>
        </w:rPr>
        <w:t xml:space="preserve"> USD y la cuenta 11120-0006-0000-00000-002 banco Banorte dólares complemento moneda nacional , al tipo d</w:t>
      </w:r>
      <w:r w:rsidR="0089511C" w:rsidRPr="003A55A1">
        <w:rPr>
          <w:rFonts w:ascii="Century Gothic" w:hAnsi="Century Gothic" w:cs="Calibri"/>
        </w:rPr>
        <w:t>e cambio del día 31 de enero de 2019</w:t>
      </w:r>
      <w:r w:rsidR="00C04236" w:rsidRPr="003A55A1">
        <w:rPr>
          <w:rFonts w:ascii="Century Gothic" w:hAnsi="Century Gothic" w:cs="Calibri"/>
        </w:rPr>
        <w:t xml:space="preserve"> publicado en el diario oficial de la federació</w:t>
      </w:r>
      <w:r w:rsidR="0089511C" w:rsidRPr="003A55A1">
        <w:rPr>
          <w:rFonts w:ascii="Century Gothic" w:hAnsi="Century Gothic" w:cs="Calibri"/>
        </w:rPr>
        <w:t>n que es de $19.1623</w:t>
      </w:r>
      <w:r w:rsidR="00C04236" w:rsidRPr="003A55A1">
        <w:rPr>
          <w:rFonts w:ascii="Century Gothic" w:hAnsi="Century Gothic" w:cs="Calibri"/>
        </w:rPr>
        <w:t xml:space="preserve"> y que estaban valuadas al tipo de cambio de $</w:t>
      </w:r>
      <w:r w:rsidR="0089511C" w:rsidRPr="003A55A1">
        <w:rPr>
          <w:rFonts w:ascii="Century Gothic" w:hAnsi="Century Gothic" w:cs="Calibri"/>
        </w:rPr>
        <w:t>19.6566 del día 31</w:t>
      </w:r>
      <w:r w:rsidR="00C04236" w:rsidRPr="003A55A1">
        <w:rPr>
          <w:rFonts w:ascii="Century Gothic" w:hAnsi="Century Gothic" w:cs="Calibri"/>
        </w:rPr>
        <w:t xml:space="preserve"> de</w:t>
      </w:r>
      <w:r w:rsidR="0089511C" w:rsidRPr="003A55A1">
        <w:rPr>
          <w:rFonts w:ascii="Century Gothic" w:hAnsi="Century Gothic" w:cs="Calibri"/>
        </w:rPr>
        <w:t xml:space="preserve"> diciembre</w:t>
      </w:r>
      <w:r w:rsidR="00C04236" w:rsidRPr="003A55A1">
        <w:rPr>
          <w:rFonts w:ascii="Century Gothic" w:hAnsi="Century Gothic" w:cs="Calibri"/>
        </w:rPr>
        <w:t xml:space="preserve"> de 2018</w:t>
      </w:r>
      <w:r w:rsidR="00C04236" w:rsidRPr="003A55A1">
        <w:rPr>
          <w:rFonts w:ascii="Arial" w:hAnsi="Arial" w:cs="Arial"/>
          <w:bCs/>
        </w:rPr>
        <w:t xml:space="preserve"> </w:t>
      </w:r>
      <w:r w:rsidR="00C04236" w:rsidRPr="003A55A1">
        <w:rPr>
          <w:rFonts w:ascii="Century Gothic" w:hAnsi="Century Gothic" w:cs="Calibri"/>
        </w:rPr>
        <w:t>que fue cuando se realizó la  valuación al cierre de ese mes generándose una variación cambiaria negati</w:t>
      </w:r>
      <w:r w:rsidR="0089511C" w:rsidRPr="003A55A1">
        <w:rPr>
          <w:rFonts w:ascii="Century Gothic" w:hAnsi="Century Gothic" w:cs="Calibri"/>
        </w:rPr>
        <w:t>va por la cantidad de $1,190.63</w:t>
      </w:r>
      <w:r w:rsidR="00C04236" w:rsidRPr="003A55A1">
        <w:rPr>
          <w:rFonts w:ascii="Century Gothic" w:hAnsi="Century Gothic" w:cs="Calibri"/>
        </w:rPr>
        <w:t xml:space="preserve"> misma que se registró de la siguiente manera: cargo a la cuenta 55940-0001-0000-00000-000 diferencias por tipo de cambio neg</w:t>
      </w:r>
      <w:r w:rsidR="0089511C" w:rsidRPr="003A55A1">
        <w:rPr>
          <w:rFonts w:ascii="Century Gothic" w:hAnsi="Century Gothic" w:cs="Calibri"/>
        </w:rPr>
        <w:t>ativas en efectivo por $1,190.63</w:t>
      </w:r>
      <w:r w:rsidR="00C04236" w:rsidRPr="003A55A1">
        <w:rPr>
          <w:rFonts w:ascii="Century Gothic" w:hAnsi="Century Gothic" w:cs="Calibri"/>
        </w:rPr>
        <w:t xml:space="preserve"> y abono a la cuenta 11120-0006-0000-00000-002 Banco Banorte dólares complemento moneda nacional</w:t>
      </w:r>
      <w:r w:rsidR="0089511C" w:rsidRPr="003A55A1">
        <w:rPr>
          <w:rFonts w:ascii="Century Gothic" w:hAnsi="Century Gothic" w:cs="Calibri"/>
        </w:rPr>
        <w:t xml:space="preserve"> $1,190.63</w:t>
      </w:r>
      <w:r w:rsidR="00C04236" w:rsidRPr="003A55A1">
        <w:rPr>
          <w:rFonts w:ascii="Century Gothic" w:hAnsi="Century Gothic" w:cs="Calibri"/>
        </w:rPr>
        <w:t>.</w:t>
      </w:r>
    </w:p>
    <w:p w:rsidR="00C04236" w:rsidRPr="003A55A1" w:rsidRDefault="0089511C" w:rsidP="00C04236">
      <w:pPr>
        <w:spacing w:before="100" w:beforeAutospacing="1" w:after="100" w:afterAutospacing="1" w:line="240" w:lineRule="auto"/>
        <w:jc w:val="both"/>
        <w:rPr>
          <w:rFonts w:ascii="Times New Roman" w:hAnsi="Times New Roman"/>
          <w:lang w:val="es-MX" w:eastAsia="es-MX"/>
        </w:rPr>
      </w:pPr>
      <w:r w:rsidRPr="003A55A1">
        <w:rPr>
          <w:rFonts w:ascii="Century Gothic" w:hAnsi="Century Gothic"/>
          <w:lang w:val="es-MX" w:eastAsia="es-MX"/>
        </w:rPr>
        <w:t>En el mes de enero de 2019</w:t>
      </w:r>
      <w:r w:rsidR="00C04236" w:rsidRPr="003A55A1">
        <w:rPr>
          <w:rFonts w:ascii="Century Gothic" w:hAnsi="Century Gothic"/>
          <w:lang w:val="es-MX" w:eastAsia="es-MX"/>
        </w:rPr>
        <w:t>, para  tener  disponible para  efectos presupuestales el ingreso por  recaudar proveniente de los   remanentes  de  ejercicios anteriores</w:t>
      </w:r>
      <w:r w:rsidR="00C04236" w:rsidRPr="003A55A1">
        <w:rPr>
          <w:rFonts w:ascii="Century Gothic" w:hAnsi="Century Gothic" w:cs="Calibri"/>
        </w:rPr>
        <w:t xml:space="preserve"> </w:t>
      </w:r>
      <w:r w:rsidRPr="003A55A1">
        <w:rPr>
          <w:rFonts w:ascii="Century Gothic" w:hAnsi="Century Gothic" w:cs="Calibri"/>
        </w:rPr>
        <w:t>se cargó a la cuenta 32200-0007</w:t>
      </w:r>
      <w:r w:rsidR="00C04236" w:rsidRPr="003A55A1">
        <w:rPr>
          <w:rFonts w:ascii="Century Gothic" w:hAnsi="Century Gothic" w:cs="Calibri"/>
        </w:rPr>
        <w:t>-0000-00000-000 aplicación de remanente de ejercicio 2015 p</w:t>
      </w:r>
      <w:r w:rsidRPr="003A55A1">
        <w:rPr>
          <w:rFonts w:ascii="Century Gothic" w:hAnsi="Century Gothic" w:cs="Calibri"/>
        </w:rPr>
        <w:t>or la cantidad de $ 459,372.72</w:t>
      </w:r>
      <w:r w:rsidR="00C04236" w:rsidRPr="003A55A1">
        <w:rPr>
          <w:rFonts w:ascii="Century Gothic" w:hAnsi="Century Gothic"/>
          <w:lang w:val="es-MX" w:eastAsia="es-MX"/>
        </w:rPr>
        <w:t xml:space="preserve">  y se abonó a  la  cuenta </w:t>
      </w:r>
      <w:r w:rsidR="00C04236" w:rsidRPr="003A55A1">
        <w:rPr>
          <w:rFonts w:ascii="Century Gothic" w:hAnsi="Century Gothic" w:cs="Calibri"/>
        </w:rPr>
        <w:t>32200-0301-1700-00006-003 aplicaciones de remanente presupuestal 2015 la cantidad de $</w:t>
      </w:r>
      <w:r w:rsidR="00C04236" w:rsidRPr="003A55A1">
        <w:rPr>
          <w:rFonts w:ascii="Century Gothic" w:hAnsi="Century Gothic"/>
          <w:lang w:val="es-MX" w:eastAsia="es-MX"/>
        </w:rPr>
        <w:t xml:space="preserve"> </w:t>
      </w:r>
      <w:r w:rsidRPr="003A55A1">
        <w:rPr>
          <w:rFonts w:ascii="Century Gothic" w:hAnsi="Century Gothic" w:cs="Calibri"/>
        </w:rPr>
        <w:t>459,372.72</w:t>
      </w:r>
      <w:r w:rsidRPr="003A55A1">
        <w:rPr>
          <w:rFonts w:ascii="Century Gothic" w:hAnsi="Century Gothic"/>
          <w:lang w:val="es-MX" w:eastAsia="es-MX"/>
        </w:rPr>
        <w:t xml:space="preserve">  </w:t>
      </w:r>
      <w:r w:rsidR="00C04236" w:rsidRPr="003A55A1">
        <w:rPr>
          <w:rFonts w:ascii="Century Gothic" w:hAnsi="Century Gothic" w:cs="Calibri"/>
        </w:rPr>
        <w:t xml:space="preserve">. </w:t>
      </w:r>
      <w:r w:rsidR="00C04236" w:rsidRPr="003A55A1">
        <w:rPr>
          <w:rFonts w:ascii="Century Gothic" w:hAnsi="Century Gothic"/>
          <w:lang w:val="es-MX" w:eastAsia="es-MX"/>
        </w:rPr>
        <w:t>El  neto de  las afectaciones  contables  mencionadas  a  nivel  cuenta  de  mayor  es $0.00.</w:t>
      </w:r>
      <w:r w:rsidR="00C04236" w:rsidRPr="003A55A1">
        <w:rPr>
          <w:rFonts w:ascii="Times New Roman" w:hAnsi="Times New Roman"/>
          <w:lang w:val="es-MX" w:eastAsia="es-MX"/>
        </w:rPr>
        <w:t xml:space="preserve"> </w:t>
      </w:r>
    </w:p>
    <w:p w:rsidR="00164EC8" w:rsidRPr="003A55A1" w:rsidRDefault="00164EC8" w:rsidP="00164EC8">
      <w:pPr>
        <w:jc w:val="both"/>
        <w:rPr>
          <w:rFonts w:ascii="Century Gothic" w:hAnsi="Century Gothic" w:cs="Calibri"/>
        </w:rPr>
      </w:pPr>
      <w:r w:rsidRPr="003A55A1">
        <w:rPr>
          <w:rFonts w:ascii="Century Gothic" w:hAnsi="Century Gothic" w:cs="Calibri"/>
        </w:rPr>
        <w:t>En el Estado de flujos de efectivo del mes de febrero de 2019 en ACTIVIDADES DE FINANCIAMIENTO en ORIGEN en otros orígenes de financiamiento se agruparon  las variaciones de saldos  de varias cuentas de balance tales como; IVA a favor, subsidio para el empleo, deudores diversos por cobrar a corto plazo, ISR del ejercicio por pagar, otras cuentas por pagar a corto plazo y los anticipos a proveedores por adquisición de bienes y servicios, ya que el formato no trae un rubro en el que se puedan incorporar éstas.</w:t>
      </w:r>
    </w:p>
    <w:p w:rsidR="00164EC8" w:rsidRPr="003A55A1" w:rsidRDefault="00164EC8" w:rsidP="00164EC8">
      <w:pPr>
        <w:jc w:val="both"/>
        <w:rPr>
          <w:rFonts w:ascii="Century Gothic" w:hAnsi="Century Gothic" w:cs="Calibri"/>
        </w:rPr>
      </w:pPr>
      <w:r w:rsidRPr="003A55A1">
        <w:rPr>
          <w:rFonts w:ascii="Century Gothic" w:hAnsi="Century Gothic" w:cs="Calibri"/>
        </w:rPr>
        <w:t xml:space="preserve">Los otros orígenes de financiamiento por la cantidad de $21,763,868.77 se integra de la suma neta de: </w:t>
      </w:r>
    </w:p>
    <w:p w:rsidR="00863E59" w:rsidRPr="003A55A1" w:rsidRDefault="00164EC8" w:rsidP="00863E59">
      <w:pPr>
        <w:jc w:val="both"/>
        <w:rPr>
          <w:rFonts w:ascii="Century Gothic" w:hAnsi="Century Gothic" w:cs="Calibri"/>
          <w:sz w:val="16"/>
          <w:szCs w:val="16"/>
        </w:rPr>
      </w:pPr>
      <w:r w:rsidRPr="003A55A1">
        <w:rPr>
          <w:rFonts w:ascii="Century Gothic" w:eastAsia="Times New Roman" w:hAnsi="Century Gothic"/>
          <w:color w:val="000000"/>
          <w:sz w:val="16"/>
          <w:szCs w:val="16"/>
          <w:lang w:val="es-MX" w:eastAsia="es-MX"/>
        </w:rPr>
        <w:t xml:space="preserve"> </w:t>
      </w:r>
      <w:r w:rsidRPr="003A55A1">
        <w:rPr>
          <w:rFonts w:ascii="Cambria" w:eastAsia="Times New Roman" w:hAnsi="Cambria"/>
          <w:color w:val="000000"/>
          <w:sz w:val="16"/>
          <w:szCs w:val="16"/>
          <w:lang w:val="es-MX" w:eastAsia="es-MX"/>
        </w:rPr>
        <w:t xml:space="preserve">Las </w:t>
      </w:r>
      <w:r w:rsidRPr="003A55A1">
        <w:rPr>
          <w:rFonts w:ascii="Century Gothic" w:hAnsi="Century Gothic" w:cs="Calibri"/>
          <w:sz w:val="16"/>
          <w:szCs w:val="16"/>
        </w:rPr>
        <w:t>variaciones (aplicación neta) de saldos de varias cuentas de balance tales como;</w:t>
      </w:r>
      <w:r w:rsidRPr="003A55A1">
        <w:rPr>
          <w:rFonts w:ascii="Century Gothic" w:eastAsia="Times New Roman" w:hAnsi="Century Gothic"/>
          <w:color w:val="000000"/>
          <w:sz w:val="16"/>
          <w:szCs w:val="16"/>
          <w:lang w:val="es-MX" w:eastAsia="es-MX"/>
        </w:rPr>
        <w:t xml:space="preserve"> 113100000000000000000 Anticipo a proveedores por adquisición de bienes y servicios</w:t>
      </w:r>
      <w:r w:rsidRPr="003A55A1">
        <w:rPr>
          <w:rFonts w:ascii="Century Gothic" w:hAnsi="Century Gothic" w:cs="Calibri"/>
          <w:sz w:val="16"/>
          <w:szCs w:val="16"/>
        </w:rPr>
        <w:t xml:space="preserve"> IVA a favor, subsidio para el empleo, deudores diversos por cobrar a corto plazo, ISR del ejercicio por pagar, SAT y otras cuentas por pagar a corto plazo   por importe de - $</w:t>
      </w:r>
      <w:r w:rsidR="00863E59" w:rsidRPr="003A55A1">
        <w:rPr>
          <w:rFonts w:ascii="Century Gothic" w:hAnsi="Century Gothic" w:cs="Calibri"/>
          <w:sz w:val="16"/>
          <w:szCs w:val="16"/>
        </w:rPr>
        <w:t xml:space="preserve">21,802,207.68 </w:t>
      </w:r>
      <w:r w:rsidRPr="003A55A1">
        <w:rPr>
          <w:rFonts w:ascii="Century Gothic" w:hAnsi="Century Gothic" w:cs="Calibri"/>
          <w:sz w:val="16"/>
          <w:szCs w:val="16"/>
        </w:rPr>
        <w:t xml:space="preserve">así como  la cuenta de otros gastos considerada en otras perdidas y gastos extraordinarios  </w:t>
      </w:r>
      <w:r w:rsidR="00863E59" w:rsidRPr="003A55A1">
        <w:rPr>
          <w:rFonts w:ascii="Century Gothic" w:hAnsi="Century Gothic" w:cs="Calibri"/>
          <w:sz w:val="16"/>
          <w:szCs w:val="16"/>
        </w:rPr>
        <w:t>por la cantidad de –38,478</w:t>
      </w:r>
      <w:r w:rsidRPr="003A55A1">
        <w:rPr>
          <w:rFonts w:ascii="Century Gothic" w:hAnsi="Century Gothic" w:cs="Calibri"/>
          <w:sz w:val="16"/>
          <w:szCs w:val="16"/>
        </w:rPr>
        <w:t xml:space="preserve">.13 </w:t>
      </w:r>
      <w:r w:rsidR="00863E59" w:rsidRPr="003A55A1">
        <w:rPr>
          <w:rFonts w:ascii="Century Gothic" w:hAnsi="Century Gothic" w:cs="Calibri"/>
          <w:sz w:val="16"/>
          <w:szCs w:val="16"/>
        </w:rPr>
        <w:t>y la cuenta de otros ingresos y beneficios por la cantidad de $139.22  derivadas  de diferencias por tipo de cambio a favor en la valuación de la cuenta Banorte dólares.</w:t>
      </w:r>
    </w:p>
    <w:p w:rsidR="00863E59" w:rsidRPr="003A55A1" w:rsidRDefault="00863E59" w:rsidP="00164EC8">
      <w:pPr>
        <w:jc w:val="both"/>
        <w:rPr>
          <w:rFonts w:ascii="Century Gothic" w:hAnsi="Century Gothic" w:cs="Calibri"/>
          <w:sz w:val="16"/>
          <w:szCs w:val="16"/>
        </w:rPr>
      </w:pPr>
    </w:p>
    <w:p w:rsidR="00164EC8" w:rsidRPr="003A55A1" w:rsidRDefault="00164EC8" w:rsidP="00164EC8">
      <w:pPr>
        <w:spacing w:before="100" w:beforeAutospacing="1" w:after="100" w:afterAutospacing="1" w:line="240" w:lineRule="auto"/>
        <w:jc w:val="both"/>
        <w:rPr>
          <w:rFonts w:ascii="Century Gothic" w:hAnsi="Century Gothic" w:cs="Calibri"/>
        </w:rPr>
      </w:pPr>
    </w:p>
    <w:p w:rsidR="0066724B" w:rsidRPr="003A55A1" w:rsidRDefault="00863E59" w:rsidP="0066724B">
      <w:pPr>
        <w:spacing w:before="100" w:beforeAutospacing="1" w:after="100" w:afterAutospacing="1" w:line="240" w:lineRule="auto"/>
        <w:jc w:val="both"/>
        <w:rPr>
          <w:rFonts w:ascii="Century Gothic" w:hAnsi="Century Gothic" w:cs="Calibri"/>
        </w:rPr>
      </w:pPr>
      <w:r w:rsidRPr="003A55A1">
        <w:rPr>
          <w:rFonts w:ascii="Century Gothic" w:hAnsi="Century Gothic" w:cs="Calibri"/>
        </w:rPr>
        <w:t>Al cierre del mes de febrero</w:t>
      </w:r>
      <w:r w:rsidR="00164EC8" w:rsidRPr="003A55A1">
        <w:rPr>
          <w:rFonts w:ascii="Century Gothic" w:hAnsi="Century Gothic" w:cs="Calibri"/>
        </w:rPr>
        <w:t xml:space="preserve"> de 2019, se efectuó la valuación de la cuenta '11120-0006-0000-00000-001</w:t>
      </w:r>
      <w:r w:rsidR="00164EC8" w:rsidRPr="003A55A1">
        <w:t xml:space="preserve"> </w:t>
      </w:r>
      <w:r w:rsidR="00164EC8" w:rsidRPr="003A55A1">
        <w:rPr>
          <w:rFonts w:ascii="Century Gothic" w:hAnsi="Century Gothic" w:cs="Calibri"/>
        </w:rPr>
        <w:t>banco Banorte  dólares 2,408.72 USD y la cuenta 11120-0006-0000-00000-002 banco Banorte dólares complemento moneda nacional , al tipo d</w:t>
      </w:r>
      <w:r w:rsidRPr="003A55A1">
        <w:rPr>
          <w:rFonts w:ascii="Century Gothic" w:hAnsi="Century Gothic" w:cs="Calibri"/>
        </w:rPr>
        <w:t>e cambio del día 28 de febrero</w:t>
      </w:r>
      <w:r w:rsidR="00164EC8" w:rsidRPr="003A55A1">
        <w:rPr>
          <w:rFonts w:ascii="Century Gothic" w:hAnsi="Century Gothic" w:cs="Calibri"/>
        </w:rPr>
        <w:t xml:space="preserve"> de 2019 publicado en el diario oficial de </w:t>
      </w:r>
      <w:r w:rsidR="0066724B" w:rsidRPr="003A55A1">
        <w:rPr>
          <w:rFonts w:ascii="Century Gothic" w:hAnsi="Century Gothic" w:cs="Calibri"/>
        </w:rPr>
        <w:t>la federación que es de $19.2201</w:t>
      </w:r>
      <w:r w:rsidR="00164EC8" w:rsidRPr="003A55A1">
        <w:rPr>
          <w:rFonts w:ascii="Century Gothic" w:hAnsi="Century Gothic" w:cs="Calibri"/>
        </w:rPr>
        <w:t xml:space="preserve"> y que estaban valuadas al tipo de cambio </w:t>
      </w:r>
      <w:r w:rsidR="0066724B" w:rsidRPr="003A55A1">
        <w:rPr>
          <w:rFonts w:ascii="Century Gothic" w:hAnsi="Century Gothic" w:cs="Calibri"/>
        </w:rPr>
        <w:t>de $19.1623 del día 31 de enero de 2019</w:t>
      </w:r>
      <w:r w:rsidR="00164EC8" w:rsidRPr="003A55A1">
        <w:rPr>
          <w:rFonts w:ascii="Arial" w:hAnsi="Arial" w:cs="Arial"/>
          <w:bCs/>
        </w:rPr>
        <w:t xml:space="preserve"> </w:t>
      </w:r>
      <w:r w:rsidR="00164EC8" w:rsidRPr="003A55A1">
        <w:rPr>
          <w:rFonts w:ascii="Century Gothic" w:hAnsi="Century Gothic" w:cs="Calibri"/>
        </w:rPr>
        <w:t xml:space="preserve">que fue cuando se </w:t>
      </w:r>
      <w:r w:rsidR="00164EC8" w:rsidRPr="003A55A1">
        <w:rPr>
          <w:rFonts w:ascii="Century Gothic" w:hAnsi="Century Gothic" w:cs="Calibri"/>
        </w:rPr>
        <w:lastRenderedPageBreak/>
        <w:t xml:space="preserve">realizó la  valuación al cierre de ese mes generándose una variación cambiaria </w:t>
      </w:r>
      <w:r w:rsidR="0066724B" w:rsidRPr="003A55A1">
        <w:rPr>
          <w:rFonts w:ascii="Century Gothic" w:hAnsi="Century Gothic" w:cs="Calibri"/>
        </w:rPr>
        <w:t xml:space="preserve">positiva </w:t>
      </w:r>
      <w:r w:rsidR="00164EC8" w:rsidRPr="003A55A1">
        <w:rPr>
          <w:rFonts w:ascii="Century Gothic" w:hAnsi="Century Gothic" w:cs="Calibri"/>
        </w:rPr>
        <w:t>por la cantidad de $</w:t>
      </w:r>
      <w:r w:rsidR="0066724B" w:rsidRPr="003A55A1">
        <w:rPr>
          <w:rFonts w:ascii="Century Gothic" w:hAnsi="Century Gothic" w:cs="Calibri"/>
        </w:rPr>
        <w:t xml:space="preserve">139.22 </w:t>
      </w:r>
      <w:r w:rsidR="00164EC8" w:rsidRPr="003A55A1">
        <w:rPr>
          <w:rFonts w:ascii="Century Gothic" w:hAnsi="Century Gothic" w:cs="Calibri"/>
        </w:rPr>
        <w:t>misma que se registró de la siguiente manera: cargo a la cuenta</w:t>
      </w:r>
      <w:r w:rsidR="0066724B" w:rsidRPr="003A55A1">
        <w:rPr>
          <w:rFonts w:ascii="Century Gothic" w:hAnsi="Century Gothic" w:cs="Calibri"/>
        </w:rPr>
        <w:t>11120-0006-0000-00000-002 Banco Banorte dólares complemento moneda nacional $139.22 y abono a la cuenta 43930-0001-0000-00000-000 diferencias por tipo de cambio a favor en efectivo por la cantidad de $139.22.</w:t>
      </w:r>
    </w:p>
    <w:p w:rsidR="00164EC8" w:rsidRPr="003A55A1" w:rsidRDefault="00164EC8" w:rsidP="00164EC8">
      <w:pPr>
        <w:spacing w:before="100" w:beforeAutospacing="1" w:after="100" w:afterAutospacing="1" w:line="240" w:lineRule="auto"/>
        <w:jc w:val="both"/>
        <w:rPr>
          <w:rFonts w:ascii="Times New Roman" w:hAnsi="Times New Roman"/>
          <w:lang w:val="es-MX" w:eastAsia="es-MX"/>
        </w:rPr>
      </w:pPr>
      <w:r w:rsidRPr="003A55A1">
        <w:rPr>
          <w:rFonts w:ascii="Century Gothic" w:hAnsi="Century Gothic" w:cs="Calibri"/>
        </w:rPr>
        <w:t xml:space="preserve"> </w:t>
      </w:r>
      <w:r w:rsidR="0066724B" w:rsidRPr="003A55A1">
        <w:rPr>
          <w:rFonts w:ascii="Century Gothic" w:hAnsi="Century Gothic"/>
          <w:lang w:val="es-MX" w:eastAsia="es-MX"/>
        </w:rPr>
        <w:t>En el mes de febrero</w:t>
      </w:r>
      <w:r w:rsidRPr="003A55A1">
        <w:rPr>
          <w:rFonts w:ascii="Century Gothic" w:hAnsi="Century Gothic"/>
          <w:lang w:val="es-MX" w:eastAsia="es-MX"/>
        </w:rPr>
        <w:t xml:space="preserve"> de 2019, para  tener  disponible para  efectos presupuestales el ingreso por  recaudar proveniente de los   remanentes  de  ejercicios anteriores</w:t>
      </w:r>
      <w:r w:rsidRPr="003A55A1">
        <w:rPr>
          <w:rFonts w:ascii="Century Gothic" w:hAnsi="Century Gothic" w:cs="Calibri"/>
        </w:rPr>
        <w:t xml:space="preserve"> se cargó a la cuenta 32200-0007-0000-00000-000 aplicación de remanente de ejercicio 2015 por la cantidad de $ </w:t>
      </w:r>
      <w:r w:rsidR="0066724B" w:rsidRPr="003A55A1">
        <w:rPr>
          <w:rFonts w:ascii="Century Gothic" w:hAnsi="Century Gothic" w:cs="Calibri"/>
        </w:rPr>
        <w:t>1</w:t>
      </w:r>
      <w:r w:rsidR="00C73939" w:rsidRPr="003A55A1">
        <w:rPr>
          <w:rFonts w:ascii="Century Gothic" w:hAnsi="Century Gothic" w:cs="Calibri"/>
        </w:rPr>
        <w:t>,3</w:t>
      </w:r>
      <w:r w:rsidR="0066724B" w:rsidRPr="003A55A1">
        <w:rPr>
          <w:rFonts w:ascii="Century Gothic" w:hAnsi="Century Gothic" w:cs="Calibri"/>
        </w:rPr>
        <w:t xml:space="preserve">94,800.00 </w:t>
      </w:r>
      <w:r w:rsidRPr="003A55A1">
        <w:rPr>
          <w:rFonts w:ascii="Century Gothic" w:hAnsi="Century Gothic"/>
          <w:lang w:val="es-MX" w:eastAsia="es-MX"/>
        </w:rPr>
        <w:t xml:space="preserve">y se abonó a  la  cuenta </w:t>
      </w:r>
      <w:r w:rsidRPr="003A55A1">
        <w:rPr>
          <w:rFonts w:ascii="Century Gothic" w:hAnsi="Century Gothic" w:cs="Calibri"/>
        </w:rPr>
        <w:t>32200-0301-1700-00006-003 aplicaciones de remanente presupuestal 2015 la cantidad de $</w:t>
      </w:r>
      <w:r w:rsidR="00C73939" w:rsidRPr="003A55A1">
        <w:rPr>
          <w:rFonts w:ascii="Century Gothic" w:hAnsi="Century Gothic" w:cs="Calibri"/>
        </w:rPr>
        <w:t>1,394,800.00</w:t>
      </w:r>
      <w:r w:rsidRPr="003A55A1">
        <w:rPr>
          <w:rFonts w:ascii="Century Gothic" w:hAnsi="Century Gothic" w:cs="Calibri"/>
        </w:rPr>
        <w:t xml:space="preserve">. </w:t>
      </w:r>
      <w:r w:rsidRPr="003A55A1">
        <w:rPr>
          <w:rFonts w:ascii="Century Gothic" w:hAnsi="Century Gothic"/>
          <w:lang w:val="es-MX" w:eastAsia="es-MX"/>
        </w:rPr>
        <w:t>El  neto de  las afectaciones  contables  mencionadas  a  nivel  cuenta  de  mayor  es $0.00.</w:t>
      </w:r>
      <w:r w:rsidRPr="003A55A1">
        <w:rPr>
          <w:rFonts w:ascii="Times New Roman" w:hAnsi="Times New Roman"/>
          <w:lang w:val="es-MX" w:eastAsia="es-MX"/>
        </w:rPr>
        <w:t xml:space="preserve"> </w:t>
      </w:r>
    </w:p>
    <w:p w:rsidR="00C73939" w:rsidRPr="003A55A1" w:rsidRDefault="00C73939" w:rsidP="00164EC8">
      <w:pPr>
        <w:spacing w:before="100" w:beforeAutospacing="1" w:after="100" w:afterAutospacing="1" w:line="240" w:lineRule="auto"/>
        <w:jc w:val="both"/>
        <w:rPr>
          <w:rFonts w:ascii="Century Gothic" w:hAnsi="Century Gothic"/>
          <w:lang w:val="es-MX" w:eastAsia="es-MX"/>
        </w:rPr>
      </w:pPr>
      <w:r w:rsidRPr="003A55A1">
        <w:rPr>
          <w:rFonts w:ascii="Century Gothic" w:hAnsi="Century Gothic"/>
          <w:lang w:val="es-MX" w:eastAsia="es-MX"/>
        </w:rPr>
        <w:t>En el mes de febrero de 2019, el Consejo Directivo autorizó el Convenio de Coordinación, Colaboración y Aportación de recursos económicos  celebrado con el Municipio de León a través de las Dirección de Desarrollo Rural para apoyar a los productores del municipio de león exponiendo sus productos dentro del marco de la Feria Estatal de Leon 2019 mediante la instalación de un stand en la expo ganadera feria león 2019 por la cantidad de $ 100,000.00</w:t>
      </w:r>
    </w:p>
    <w:p w:rsidR="003A5CBF" w:rsidRPr="003A55A1" w:rsidRDefault="003A5CBF" w:rsidP="003A5CBF">
      <w:pPr>
        <w:jc w:val="both"/>
        <w:rPr>
          <w:rFonts w:ascii="Century Gothic" w:hAnsi="Century Gothic" w:cs="Calibri"/>
        </w:rPr>
      </w:pPr>
      <w:r w:rsidRPr="003A55A1">
        <w:rPr>
          <w:rFonts w:ascii="Century Gothic" w:hAnsi="Century Gothic" w:cs="Calibri"/>
        </w:rPr>
        <w:t>En el Estado de flujos d</w:t>
      </w:r>
      <w:r w:rsidR="00834509" w:rsidRPr="003A55A1">
        <w:rPr>
          <w:rFonts w:ascii="Century Gothic" w:hAnsi="Century Gothic" w:cs="Calibri"/>
        </w:rPr>
        <w:t>e efectivo del mes de marzo</w:t>
      </w:r>
      <w:r w:rsidRPr="003A55A1">
        <w:rPr>
          <w:rFonts w:ascii="Century Gothic" w:hAnsi="Century Gothic" w:cs="Calibri"/>
        </w:rPr>
        <w:t xml:space="preserve"> de 2019 en ACTIVIDADES DE FINANCIAMIENTO en ORIGEN en otros orígenes de financiamiento se agruparon  las variaciones de saldos  de varias cuentas de balance tales como; IVA a favor, subsidio para el empleo, deudores diversos por cobrar a corto plazo, ISR del ejercicio por pagar, otras cuentas por pagar a corto plazo y los anticipos a proveedores por adquisición de bienes y servicios, ya que el formato no trae un rubro en el que se puedan incorporar éstas.</w:t>
      </w:r>
    </w:p>
    <w:p w:rsidR="003A5CBF" w:rsidRPr="003A55A1" w:rsidRDefault="003A5CBF" w:rsidP="003A5CBF">
      <w:pPr>
        <w:jc w:val="both"/>
        <w:rPr>
          <w:rFonts w:ascii="Century Gothic" w:hAnsi="Century Gothic" w:cs="Calibri"/>
        </w:rPr>
      </w:pPr>
      <w:r w:rsidRPr="003A55A1">
        <w:rPr>
          <w:rFonts w:ascii="Century Gothic" w:hAnsi="Century Gothic" w:cs="Calibri"/>
        </w:rPr>
        <w:t>Los otros orígenes de financiamiento por la cantidad de $</w:t>
      </w:r>
      <w:r w:rsidR="007A0F55" w:rsidRPr="003A55A1">
        <w:rPr>
          <w:rFonts w:ascii="Century Gothic" w:hAnsi="Century Gothic" w:cs="Calibri"/>
        </w:rPr>
        <w:t>20,750,856.53</w:t>
      </w:r>
      <w:r w:rsidR="00575893" w:rsidRPr="003A55A1">
        <w:rPr>
          <w:rFonts w:ascii="Century Gothic" w:hAnsi="Century Gothic" w:cs="Calibri"/>
        </w:rPr>
        <w:t xml:space="preserve"> </w:t>
      </w:r>
      <w:r w:rsidRPr="003A55A1">
        <w:rPr>
          <w:rFonts w:ascii="Century Gothic" w:hAnsi="Century Gothic" w:cs="Calibri"/>
        </w:rPr>
        <w:t xml:space="preserve">se integra de la suma neta de: </w:t>
      </w:r>
    </w:p>
    <w:p w:rsidR="003A5CBF" w:rsidRPr="003A55A1" w:rsidRDefault="003A5CBF" w:rsidP="003A5CBF">
      <w:pPr>
        <w:jc w:val="both"/>
        <w:rPr>
          <w:rFonts w:ascii="Century Gothic" w:hAnsi="Century Gothic" w:cs="Calibri"/>
          <w:sz w:val="16"/>
          <w:szCs w:val="16"/>
        </w:rPr>
      </w:pPr>
      <w:r w:rsidRPr="003A55A1">
        <w:rPr>
          <w:rFonts w:ascii="Century Gothic" w:eastAsia="Times New Roman" w:hAnsi="Century Gothic"/>
          <w:color w:val="000000"/>
          <w:sz w:val="16"/>
          <w:szCs w:val="16"/>
          <w:lang w:val="es-MX" w:eastAsia="es-MX"/>
        </w:rPr>
        <w:t xml:space="preserve"> </w:t>
      </w:r>
      <w:r w:rsidRPr="003A55A1">
        <w:rPr>
          <w:rFonts w:ascii="Cambria" w:eastAsia="Times New Roman" w:hAnsi="Cambria"/>
          <w:color w:val="000000"/>
          <w:sz w:val="16"/>
          <w:szCs w:val="16"/>
          <w:lang w:val="es-MX" w:eastAsia="es-MX"/>
        </w:rPr>
        <w:t xml:space="preserve">Las </w:t>
      </w:r>
      <w:r w:rsidRPr="003A55A1">
        <w:rPr>
          <w:rFonts w:ascii="Century Gothic" w:hAnsi="Century Gothic" w:cs="Calibri"/>
          <w:sz w:val="16"/>
          <w:szCs w:val="16"/>
        </w:rPr>
        <w:t>variaciones (aplicación neta) de saldos de varias cuentas de balance tales como;</w:t>
      </w:r>
      <w:r w:rsidRPr="003A55A1">
        <w:rPr>
          <w:rFonts w:ascii="Century Gothic" w:eastAsia="Times New Roman" w:hAnsi="Century Gothic"/>
          <w:color w:val="000000"/>
          <w:sz w:val="16"/>
          <w:szCs w:val="16"/>
          <w:lang w:val="es-MX" w:eastAsia="es-MX"/>
        </w:rPr>
        <w:t xml:space="preserve"> 113100000000000000000 Anticipo a proveedores por adquisición de bienes y servicios</w:t>
      </w:r>
      <w:r w:rsidRPr="003A55A1">
        <w:rPr>
          <w:rFonts w:ascii="Century Gothic" w:hAnsi="Century Gothic" w:cs="Calibri"/>
          <w:sz w:val="16"/>
          <w:szCs w:val="16"/>
        </w:rPr>
        <w:t xml:space="preserve"> IVA a favor, subsidio para el empleo, deudores diversos por cobrar a corto plazo, ISR del ejercicio por pagar, SAT y otras cuentas por pagar a corto plazo  </w:t>
      </w:r>
      <w:r w:rsidR="007A0F55" w:rsidRPr="003A55A1">
        <w:rPr>
          <w:rFonts w:ascii="Century Gothic" w:hAnsi="Century Gothic" w:cs="Calibri"/>
          <w:sz w:val="16"/>
          <w:szCs w:val="16"/>
        </w:rPr>
        <w:t xml:space="preserve"> por importe de  $20,788,811.97</w:t>
      </w:r>
      <w:r w:rsidRPr="003A55A1">
        <w:rPr>
          <w:rFonts w:ascii="Century Gothic" w:hAnsi="Century Gothic" w:cs="Calibri"/>
          <w:sz w:val="16"/>
          <w:szCs w:val="16"/>
        </w:rPr>
        <w:t xml:space="preserve"> así como  la cuenta de otros gastos considerada en otras perdidas y gastos extraordinarios  por la cantidad de –38,478.13 y la cuenta de otros ingresos y benef</w:t>
      </w:r>
      <w:r w:rsidR="00575893" w:rsidRPr="003A55A1">
        <w:rPr>
          <w:rFonts w:ascii="Century Gothic" w:hAnsi="Century Gothic" w:cs="Calibri"/>
          <w:sz w:val="16"/>
          <w:szCs w:val="16"/>
        </w:rPr>
        <w:t>icios por la cantidad de $522.69</w:t>
      </w:r>
      <w:r w:rsidRPr="003A55A1">
        <w:rPr>
          <w:rFonts w:ascii="Century Gothic" w:hAnsi="Century Gothic" w:cs="Calibri"/>
          <w:sz w:val="16"/>
          <w:szCs w:val="16"/>
        </w:rPr>
        <w:t xml:space="preserve">  derivadas  de diferencias por tipo de cambio a favor en la valuación de la cuenta Banorte dólares.</w:t>
      </w:r>
    </w:p>
    <w:p w:rsidR="009004E1" w:rsidRPr="003A55A1" w:rsidRDefault="009004E1" w:rsidP="009004E1">
      <w:pPr>
        <w:jc w:val="both"/>
        <w:rPr>
          <w:rFonts w:ascii="Century Gothic" w:hAnsi="Century Gothic"/>
        </w:rPr>
      </w:pPr>
      <w:r w:rsidRPr="003A55A1">
        <w:rPr>
          <w:rFonts w:ascii="Century Gothic" w:hAnsi="Century Gothic" w:cs="Calibri"/>
        </w:rPr>
        <w:t xml:space="preserve">El estado de flujos de efectivo del mes de marzo de 2019 en lo relativo al renglón de Bienes Inmuebles, Infraestructura y Construcciones en Proceso, no coincide con la nota </w:t>
      </w:r>
      <w:r w:rsidR="007A0F55" w:rsidRPr="003A55A1">
        <w:rPr>
          <w:rFonts w:ascii="Century Gothic" w:hAnsi="Century Gothic" w:cs="Calibri"/>
        </w:rPr>
        <w:t xml:space="preserve">de desglose y memoria </w:t>
      </w:r>
      <w:r w:rsidRPr="003A55A1">
        <w:rPr>
          <w:rFonts w:ascii="Century Gothic" w:hAnsi="Century Gothic" w:cs="Calibri"/>
        </w:rPr>
        <w:t>EFE-02, debido a que en el mencionado estado, no se consideraron el registro de las provisiones</w:t>
      </w:r>
      <w:r w:rsidR="00905669" w:rsidRPr="003A55A1">
        <w:rPr>
          <w:rFonts w:ascii="Century Gothic" w:hAnsi="Century Gothic" w:cs="Calibri"/>
        </w:rPr>
        <w:t xml:space="preserve"> </w:t>
      </w:r>
      <w:r w:rsidRPr="003A55A1">
        <w:rPr>
          <w:rFonts w:ascii="Century Gothic" w:hAnsi="Century Gothic" w:cs="Calibri"/>
        </w:rPr>
        <w:t xml:space="preserve"> </w:t>
      </w:r>
      <w:r w:rsidR="00905669" w:rsidRPr="003A55A1">
        <w:rPr>
          <w:rFonts w:ascii="Century Gothic" w:hAnsi="Century Gothic" w:cs="Calibri"/>
        </w:rPr>
        <w:t xml:space="preserve">devengadas </w:t>
      </w:r>
      <w:r w:rsidRPr="003A55A1">
        <w:rPr>
          <w:rFonts w:ascii="Century Gothic" w:hAnsi="Century Gothic" w:cs="Calibri"/>
        </w:rPr>
        <w:t xml:space="preserve">de obra en proceso de: </w:t>
      </w:r>
      <w:r w:rsidR="00905669" w:rsidRPr="003A55A1">
        <w:rPr>
          <w:rFonts w:ascii="Century Gothic" w:hAnsi="Century Gothic"/>
        </w:rPr>
        <w:t xml:space="preserve">tramite de licencia de uso de suelo y venta de formas por 2,795.11 a nombre de Torres Garcia Antonio, segunda y tecera estimación  proyecto de instalaciones del estacionamiento y edifico de bares y restaurantes por la cantidad de $95,000 respectivamente más iva a nombre de IMATI PROYECTOS, S.A. DE C.V y tercera y cuarta estimación  construccion modulo de sanitarios y espacio comercial en el parque explora </w:t>
      </w:r>
      <w:r w:rsidR="00905669" w:rsidRPr="003A55A1">
        <w:rPr>
          <w:rFonts w:ascii="Century Gothic" w:hAnsi="Century Gothic"/>
        </w:rPr>
        <w:lastRenderedPageBreak/>
        <w:t>por la cantidad de 152,322.23  y 122,015.47 mas IVA a nombre de Constructora Madaco, S.de R.L. de C.V que ya</w:t>
      </w:r>
      <w:r w:rsidRPr="003A55A1">
        <w:rPr>
          <w:rFonts w:ascii="Century Gothic" w:hAnsi="Century Gothic"/>
        </w:rPr>
        <w:t xml:space="preserve"> fueron devengadas </w:t>
      </w:r>
      <w:r w:rsidRPr="003A55A1">
        <w:rPr>
          <w:rFonts w:ascii="Century Gothic" w:hAnsi="Century Gothic" w:cs="Calibri"/>
        </w:rPr>
        <w:t>provisionándose</w:t>
      </w:r>
      <w:r w:rsidRPr="003A55A1">
        <w:rPr>
          <w:rFonts w:ascii="Century Gothic" w:hAnsi="Century Gothic"/>
        </w:rPr>
        <w:t xml:space="preserve"> registrándose en activo no circulante,  pero pendientes de pago motivo por el que no se consideran flujo de efectivo. </w:t>
      </w:r>
    </w:p>
    <w:p w:rsidR="003A5CBF" w:rsidRPr="003A55A1" w:rsidRDefault="00EB183F" w:rsidP="003A5CBF">
      <w:pPr>
        <w:spacing w:before="100" w:beforeAutospacing="1" w:after="100" w:afterAutospacing="1" w:line="240" w:lineRule="auto"/>
        <w:jc w:val="both"/>
        <w:rPr>
          <w:rFonts w:ascii="Century Gothic" w:hAnsi="Century Gothic" w:cs="Calibri"/>
        </w:rPr>
      </w:pPr>
      <w:r w:rsidRPr="003A55A1">
        <w:rPr>
          <w:rFonts w:ascii="Century Gothic" w:hAnsi="Century Gothic" w:cs="Calibri"/>
        </w:rPr>
        <w:t>Al cierre del mes de marzo</w:t>
      </w:r>
      <w:r w:rsidR="003A5CBF" w:rsidRPr="003A55A1">
        <w:rPr>
          <w:rFonts w:ascii="Century Gothic" w:hAnsi="Century Gothic" w:cs="Calibri"/>
        </w:rPr>
        <w:t xml:space="preserve"> de 2019, se efectuó la valuación de la cuenta '11120-0006-0000-00000-001</w:t>
      </w:r>
      <w:r w:rsidR="003A5CBF" w:rsidRPr="003A55A1">
        <w:t xml:space="preserve"> </w:t>
      </w:r>
      <w:r w:rsidR="003A5CBF" w:rsidRPr="003A55A1">
        <w:rPr>
          <w:rFonts w:ascii="Century Gothic" w:hAnsi="Century Gothic" w:cs="Calibri"/>
        </w:rPr>
        <w:t>banco Banorte  dólares 2,408.72 USD y la cuenta 11120-0006-0000-00000-002 banco Banorte dólares complemento moneda nacional , al tipo de cambio del día</w:t>
      </w:r>
      <w:r w:rsidR="00834509" w:rsidRPr="003A55A1">
        <w:rPr>
          <w:rFonts w:ascii="Century Gothic" w:hAnsi="Century Gothic" w:cs="Calibri"/>
        </w:rPr>
        <w:t xml:space="preserve"> 29 de marzo</w:t>
      </w:r>
      <w:r w:rsidR="003A5CBF" w:rsidRPr="003A55A1">
        <w:rPr>
          <w:rFonts w:ascii="Century Gothic" w:hAnsi="Century Gothic" w:cs="Calibri"/>
        </w:rPr>
        <w:t xml:space="preserve"> de 2019 publicado en el diario oficial de </w:t>
      </w:r>
      <w:r w:rsidR="00834509" w:rsidRPr="003A55A1">
        <w:rPr>
          <w:rFonts w:ascii="Century Gothic" w:hAnsi="Century Gothic" w:cs="Calibri"/>
        </w:rPr>
        <w:t>la federación que es de $19.3793</w:t>
      </w:r>
      <w:r w:rsidR="003A5CBF" w:rsidRPr="003A55A1">
        <w:rPr>
          <w:rFonts w:ascii="Century Gothic" w:hAnsi="Century Gothic" w:cs="Calibri"/>
        </w:rPr>
        <w:t xml:space="preserve"> y que estaban valuadas al tipo de cambio </w:t>
      </w:r>
      <w:r w:rsidR="00834509" w:rsidRPr="003A55A1">
        <w:rPr>
          <w:rFonts w:ascii="Century Gothic" w:hAnsi="Century Gothic" w:cs="Calibri"/>
        </w:rPr>
        <w:t>de $19.2201 del día 28 de febrero</w:t>
      </w:r>
      <w:r w:rsidR="003A5CBF" w:rsidRPr="003A55A1">
        <w:rPr>
          <w:rFonts w:ascii="Century Gothic" w:hAnsi="Century Gothic" w:cs="Calibri"/>
        </w:rPr>
        <w:t xml:space="preserve"> de 2019</w:t>
      </w:r>
      <w:r w:rsidR="003A5CBF" w:rsidRPr="003A55A1">
        <w:rPr>
          <w:rFonts w:ascii="Arial" w:hAnsi="Arial" w:cs="Arial"/>
          <w:bCs/>
        </w:rPr>
        <w:t xml:space="preserve"> </w:t>
      </w:r>
      <w:r w:rsidR="003A5CBF" w:rsidRPr="003A55A1">
        <w:rPr>
          <w:rFonts w:ascii="Century Gothic" w:hAnsi="Century Gothic" w:cs="Calibri"/>
        </w:rPr>
        <w:t>que fue cuando se realizó la  valuación al cierre de ese mes generándose una variación cambiaria positiva por la cantidad de $</w:t>
      </w:r>
      <w:r w:rsidR="00834509" w:rsidRPr="003A55A1">
        <w:rPr>
          <w:rFonts w:ascii="Century Gothic" w:hAnsi="Century Gothic" w:cs="Calibri"/>
        </w:rPr>
        <w:t>383.47</w:t>
      </w:r>
      <w:r w:rsidR="003A5CBF" w:rsidRPr="003A55A1">
        <w:rPr>
          <w:rFonts w:ascii="Century Gothic" w:hAnsi="Century Gothic" w:cs="Calibri"/>
        </w:rPr>
        <w:t xml:space="preserve"> misma que se registró de la siguiente manera: cargo a la cuenta11120-0006-0000-00000-002 Banco Banorte dólares complemento moneda nacional</w:t>
      </w:r>
      <w:r w:rsidR="00834509" w:rsidRPr="003A55A1">
        <w:rPr>
          <w:rFonts w:ascii="Century Gothic" w:hAnsi="Century Gothic" w:cs="Calibri"/>
        </w:rPr>
        <w:t xml:space="preserve"> $383.47</w:t>
      </w:r>
      <w:r w:rsidR="003A5CBF" w:rsidRPr="003A55A1">
        <w:rPr>
          <w:rFonts w:ascii="Century Gothic" w:hAnsi="Century Gothic" w:cs="Calibri"/>
        </w:rPr>
        <w:t xml:space="preserve"> y abono a la cuenta 43930-0001-0000-00000-000 diferencias por tipo de cambio a favor en efe</w:t>
      </w:r>
      <w:r w:rsidR="00834509" w:rsidRPr="003A55A1">
        <w:rPr>
          <w:rFonts w:ascii="Century Gothic" w:hAnsi="Century Gothic" w:cs="Calibri"/>
        </w:rPr>
        <w:t>ctivo por la cantidad de $383.47</w:t>
      </w:r>
      <w:r w:rsidR="003A5CBF" w:rsidRPr="003A55A1">
        <w:rPr>
          <w:rFonts w:ascii="Century Gothic" w:hAnsi="Century Gothic" w:cs="Calibri"/>
        </w:rPr>
        <w:t>.</w:t>
      </w:r>
    </w:p>
    <w:p w:rsidR="003A5CBF" w:rsidRPr="003A55A1" w:rsidRDefault="003A5CBF" w:rsidP="003A5CBF">
      <w:pPr>
        <w:spacing w:before="100" w:beforeAutospacing="1" w:after="100" w:afterAutospacing="1" w:line="240" w:lineRule="auto"/>
        <w:jc w:val="both"/>
        <w:rPr>
          <w:rFonts w:ascii="Century Gothic" w:hAnsi="Century Gothic"/>
          <w:lang w:val="es-MX" w:eastAsia="es-MX"/>
        </w:rPr>
      </w:pPr>
      <w:r w:rsidRPr="003A55A1">
        <w:rPr>
          <w:rFonts w:ascii="Century Gothic" w:hAnsi="Century Gothic" w:cs="Calibri"/>
        </w:rPr>
        <w:t xml:space="preserve"> </w:t>
      </w:r>
      <w:r w:rsidR="00834509" w:rsidRPr="003A55A1">
        <w:rPr>
          <w:rFonts w:ascii="Century Gothic" w:hAnsi="Century Gothic"/>
          <w:lang w:val="es-MX" w:eastAsia="es-MX"/>
        </w:rPr>
        <w:t>En el mes de marzo</w:t>
      </w:r>
      <w:r w:rsidRPr="003A55A1">
        <w:rPr>
          <w:rFonts w:ascii="Century Gothic" w:hAnsi="Century Gothic"/>
          <w:lang w:val="es-MX" w:eastAsia="es-MX"/>
        </w:rPr>
        <w:t xml:space="preserve"> de 2019, para  tener  disponible para  efectos presupuestales el ingreso por  recaudar proveniente de los   remanentes  de  ejercicios anteriores</w:t>
      </w:r>
      <w:r w:rsidRPr="003A55A1">
        <w:rPr>
          <w:rFonts w:ascii="Century Gothic" w:hAnsi="Century Gothic" w:cs="Calibri"/>
        </w:rPr>
        <w:t xml:space="preserve"> se cargó a la cuenta 32200-0007-0000-00000-000 aplicación de remanente de ejercicio 2015 por la cantidad de $</w:t>
      </w:r>
      <w:r w:rsidR="00834509" w:rsidRPr="003A55A1">
        <w:rPr>
          <w:rFonts w:ascii="Century Gothic" w:hAnsi="Century Gothic" w:cs="Calibri"/>
        </w:rPr>
        <w:t>618,847.64</w:t>
      </w:r>
      <w:r w:rsidRPr="003A55A1">
        <w:rPr>
          <w:rFonts w:ascii="Century Gothic" w:hAnsi="Century Gothic" w:cs="Calibri"/>
        </w:rPr>
        <w:t xml:space="preserve"> </w:t>
      </w:r>
      <w:r w:rsidRPr="003A55A1">
        <w:rPr>
          <w:rFonts w:ascii="Century Gothic" w:hAnsi="Century Gothic"/>
          <w:lang w:val="es-MX" w:eastAsia="es-MX"/>
        </w:rPr>
        <w:t xml:space="preserve">y se abonó a  la  cuenta </w:t>
      </w:r>
      <w:r w:rsidRPr="003A55A1">
        <w:rPr>
          <w:rFonts w:ascii="Century Gothic" w:hAnsi="Century Gothic" w:cs="Calibri"/>
        </w:rPr>
        <w:t>32200-0301-1700-00006-003 aplicaciones de remanente presupuestal 2015 la cantidad de $</w:t>
      </w:r>
      <w:r w:rsidR="00834509" w:rsidRPr="003A55A1">
        <w:rPr>
          <w:rFonts w:ascii="Century Gothic" w:hAnsi="Century Gothic" w:cs="Calibri"/>
        </w:rPr>
        <w:t>618,847.64</w:t>
      </w:r>
      <w:r w:rsidRPr="003A55A1">
        <w:rPr>
          <w:rFonts w:ascii="Century Gothic" w:hAnsi="Century Gothic" w:cs="Calibri"/>
        </w:rPr>
        <w:t xml:space="preserve">. </w:t>
      </w:r>
      <w:r w:rsidR="00C46197" w:rsidRPr="003A55A1">
        <w:rPr>
          <w:rFonts w:ascii="Century Gothic" w:hAnsi="Century Gothic"/>
          <w:lang w:val="es-MX" w:eastAsia="es-MX"/>
        </w:rPr>
        <w:t>El  neto de  las afectaciones  contables  mencionadas  a  nivel  cuenta  de  mayor  es $0.00.</w:t>
      </w:r>
      <w:r w:rsidR="00C46197" w:rsidRPr="003A55A1">
        <w:rPr>
          <w:rFonts w:ascii="Times New Roman" w:hAnsi="Times New Roman"/>
          <w:lang w:val="es-MX" w:eastAsia="es-MX"/>
        </w:rPr>
        <w:t xml:space="preserve"> </w:t>
      </w:r>
    </w:p>
    <w:p w:rsidR="00BC0DB3" w:rsidRPr="003A55A1" w:rsidRDefault="00BC0DB3" w:rsidP="00BC0DB3">
      <w:pPr>
        <w:jc w:val="both"/>
        <w:rPr>
          <w:rFonts w:ascii="Century Gothic" w:hAnsi="Century Gothic" w:cs="Calibri"/>
        </w:rPr>
      </w:pPr>
      <w:r w:rsidRPr="003A55A1">
        <w:rPr>
          <w:rFonts w:ascii="Century Gothic" w:hAnsi="Century Gothic" w:cs="Calibri"/>
        </w:rPr>
        <w:t>En el Estado de flujos de efectivo del mes de abril de 2019 en ACTIVIDADES DE FINANCIAMIENTO en ORIGEN en otros orígenes de financiamiento se agruparon  las variaciones de saldos  de varias cuentas de balance tales como; IVA a favor, subsidio para el empleo, deudores diversos por cobrar a corto plazo, ISR del ejercicio por pagar, otras cuentas por pagar a corto plazo y los anticipos a proveedores por adquisición de bienes y servicios, ya que el formato no trae un rubro en el que se puedan incorporar éstas.</w:t>
      </w:r>
    </w:p>
    <w:p w:rsidR="00BC0DB3" w:rsidRPr="003A55A1" w:rsidRDefault="00BC0DB3" w:rsidP="00BC0DB3">
      <w:pPr>
        <w:jc w:val="both"/>
        <w:rPr>
          <w:rFonts w:ascii="Century Gothic" w:hAnsi="Century Gothic" w:cs="Calibri"/>
        </w:rPr>
      </w:pPr>
      <w:r w:rsidRPr="003A55A1">
        <w:rPr>
          <w:rFonts w:ascii="Century Gothic" w:hAnsi="Century Gothic" w:cs="Calibri"/>
        </w:rPr>
        <w:t xml:space="preserve">Los otros orígenes de financiamiento por la cantidad de $20,736,440.72 se integra de la suma neta de: </w:t>
      </w:r>
    </w:p>
    <w:p w:rsidR="00BC0DB3" w:rsidRPr="003A55A1" w:rsidRDefault="00BC0DB3" w:rsidP="00BC0DB3">
      <w:pPr>
        <w:jc w:val="both"/>
        <w:rPr>
          <w:rFonts w:ascii="Century Gothic" w:hAnsi="Century Gothic" w:cs="Calibri"/>
          <w:sz w:val="16"/>
          <w:szCs w:val="16"/>
        </w:rPr>
      </w:pPr>
      <w:r w:rsidRPr="003A55A1">
        <w:rPr>
          <w:rFonts w:ascii="Century Gothic" w:eastAsia="Times New Roman" w:hAnsi="Century Gothic"/>
          <w:color w:val="000000"/>
          <w:sz w:val="16"/>
          <w:szCs w:val="16"/>
          <w:lang w:val="es-MX" w:eastAsia="es-MX"/>
        </w:rPr>
        <w:t xml:space="preserve"> </w:t>
      </w:r>
      <w:r w:rsidRPr="003A55A1">
        <w:rPr>
          <w:rFonts w:ascii="Cambria" w:eastAsia="Times New Roman" w:hAnsi="Cambria"/>
          <w:color w:val="000000"/>
          <w:sz w:val="16"/>
          <w:szCs w:val="16"/>
          <w:lang w:val="es-MX" w:eastAsia="es-MX"/>
        </w:rPr>
        <w:t xml:space="preserve">Las </w:t>
      </w:r>
      <w:r w:rsidRPr="003A55A1">
        <w:rPr>
          <w:rFonts w:ascii="Century Gothic" w:hAnsi="Century Gothic" w:cs="Calibri"/>
          <w:sz w:val="16"/>
          <w:szCs w:val="16"/>
        </w:rPr>
        <w:t>variaciones (aplicación neta) de saldos de varias cuentas de balance tales como;</w:t>
      </w:r>
      <w:r w:rsidRPr="003A55A1">
        <w:rPr>
          <w:rFonts w:ascii="Century Gothic" w:eastAsia="Times New Roman" w:hAnsi="Century Gothic"/>
          <w:color w:val="000000"/>
          <w:sz w:val="16"/>
          <w:szCs w:val="16"/>
          <w:lang w:val="es-MX" w:eastAsia="es-MX"/>
        </w:rPr>
        <w:t xml:space="preserve"> 113100000000000000000 Anticipo a proveedores por adquisición de bienes y servicios</w:t>
      </w:r>
      <w:r w:rsidRPr="003A55A1">
        <w:rPr>
          <w:rFonts w:ascii="Century Gothic" w:hAnsi="Century Gothic" w:cs="Calibri"/>
          <w:sz w:val="16"/>
          <w:szCs w:val="16"/>
        </w:rPr>
        <w:t xml:space="preserve"> IVA a favor, subsidio para el empleo, deudores diversos por cobrar a corto plazo, ISR del ejercicio por pagar, SAT y otras cuentas por pagar a corto plazo   por importe de  $20,578,491.02 así como  la cuenta de otros gastos considerada en otras perdidas y gastos extraordinarios  por la cantidad de –39,362.85 y la cuenta de otros ingresos y beneficios por la cantidad de $197,312.55  derivadas  de comision de los cargos por servicios generados por la venta de boletos etk</w:t>
      </w:r>
      <w:r w:rsidR="00E9740C" w:rsidRPr="003A55A1">
        <w:rPr>
          <w:rFonts w:ascii="Century Gothic" w:hAnsi="Century Gothic" w:cs="Calibri"/>
          <w:sz w:val="16"/>
          <w:szCs w:val="16"/>
        </w:rPr>
        <w:t xml:space="preserve"> en feria 2019 y sanciones por entrega administrativa tardía de obra y</w:t>
      </w:r>
      <w:r w:rsidRPr="003A55A1">
        <w:rPr>
          <w:rFonts w:ascii="Century Gothic" w:hAnsi="Century Gothic" w:cs="Calibri"/>
          <w:sz w:val="16"/>
          <w:szCs w:val="16"/>
        </w:rPr>
        <w:t xml:space="preserve"> diferencias por tipo de cambio a favor en la valuación de la cuenta Banorte dólares.</w:t>
      </w:r>
    </w:p>
    <w:p w:rsidR="00BC0DB3" w:rsidRPr="003A55A1" w:rsidRDefault="00BC0DB3" w:rsidP="00BC0DB3">
      <w:pPr>
        <w:jc w:val="both"/>
        <w:rPr>
          <w:rFonts w:ascii="Century Gothic" w:hAnsi="Century Gothic"/>
        </w:rPr>
      </w:pPr>
      <w:r w:rsidRPr="003A55A1">
        <w:rPr>
          <w:rFonts w:ascii="Century Gothic" w:hAnsi="Century Gothic" w:cs="Calibri"/>
        </w:rPr>
        <w:t>El estado de flu</w:t>
      </w:r>
      <w:r w:rsidR="00AF1431" w:rsidRPr="003A55A1">
        <w:rPr>
          <w:rFonts w:ascii="Century Gothic" w:hAnsi="Century Gothic" w:cs="Calibri"/>
        </w:rPr>
        <w:t>jos de efectivo del mes de abril</w:t>
      </w:r>
      <w:r w:rsidRPr="003A55A1">
        <w:rPr>
          <w:rFonts w:ascii="Century Gothic" w:hAnsi="Century Gothic" w:cs="Calibri"/>
        </w:rPr>
        <w:t xml:space="preserve"> de 2019 en lo relativo al renglón de Bienes Inmuebles, Infraestructura y Construcciones en Proceso, no coincide con la nota de desglose y memoria EFE-02, debido a que en el mencionado estado, </w:t>
      </w:r>
      <w:r w:rsidR="00E9740C" w:rsidRPr="003A55A1">
        <w:rPr>
          <w:rFonts w:ascii="Century Gothic" w:hAnsi="Century Gothic" w:cs="Calibri"/>
        </w:rPr>
        <w:t>no se consideró el registro de la provisión</w:t>
      </w:r>
      <w:r w:rsidRPr="003A55A1">
        <w:rPr>
          <w:rFonts w:ascii="Century Gothic" w:hAnsi="Century Gothic" w:cs="Calibri"/>
        </w:rPr>
        <w:t xml:space="preserve">  </w:t>
      </w:r>
      <w:r w:rsidR="00E9740C" w:rsidRPr="003A55A1">
        <w:rPr>
          <w:rFonts w:ascii="Century Gothic" w:hAnsi="Century Gothic" w:cs="Calibri"/>
        </w:rPr>
        <w:t>devengada</w:t>
      </w:r>
      <w:r w:rsidRPr="003A55A1">
        <w:rPr>
          <w:rFonts w:ascii="Century Gothic" w:hAnsi="Century Gothic" w:cs="Calibri"/>
        </w:rPr>
        <w:t xml:space="preserve"> de obra en proceso de: </w:t>
      </w:r>
      <w:r w:rsidR="00E9740C" w:rsidRPr="003A55A1">
        <w:rPr>
          <w:rFonts w:ascii="Century Gothic" w:hAnsi="Century Gothic" w:cs="Calibri"/>
        </w:rPr>
        <w:t xml:space="preserve">la octava estimación por la </w:t>
      </w:r>
      <w:r w:rsidR="00E9740C" w:rsidRPr="003A55A1">
        <w:rPr>
          <w:rFonts w:ascii="Century Gothic" w:hAnsi="Century Gothic"/>
        </w:rPr>
        <w:t>construcción</w:t>
      </w:r>
      <w:r w:rsidRPr="003A55A1">
        <w:rPr>
          <w:rFonts w:ascii="Century Gothic" w:hAnsi="Century Gothic"/>
        </w:rPr>
        <w:t xml:space="preserve"> modulo de sanitarios y </w:t>
      </w:r>
      <w:r w:rsidRPr="003A55A1">
        <w:rPr>
          <w:rFonts w:ascii="Century Gothic" w:hAnsi="Century Gothic"/>
        </w:rPr>
        <w:lastRenderedPageBreak/>
        <w:t xml:space="preserve">espacio comercial en el parque explora por la cantidad de </w:t>
      </w:r>
      <w:r w:rsidR="00E9740C" w:rsidRPr="003A55A1">
        <w:rPr>
          <w:rFonts w:ascii="Century Gothic" w:hAnsi="Century Gothic"/>
        </w:rPr>
        <w:t>78,017.04 más</w:t>
      </w:r>
      <w:r w:rsidRPr="003A55A1">
        <w:rPr>
          <w:rFonts w:ascii="Century Gothic" w:hAnsi="Century Gothic"/>
        </w:rPr>
        <w:t xml:space="preserve"> IVA a nombre de Constructora Madaco, S.de R.L. de C.V que ya</w:t>
      </w:r>
      <w:r w:rsidR="00E9740C" w:rsidRPr="003A55A1">
        <w:rPr>
          <w:rFonts w:ascii="Century Gothic" w:hAnsi="Century Gothic"/>
        </w:rPr>
        <w:t xml:space="preserve"> fue</w:t>
      </w:r>
      <w:r w:rsidRPr="003A55A1">
        <w:rPr>
          <w:rFonts w:ascii="Century Gothic" w:hAnsi="Century Gothic"/>
        </w:rPr>
        <w:t xml:space="preserve"> devengada </w:t>
      </w:r>
      <w:r w:rsidRPr="003A55A1">
        <w:rPr>
          <w:rFonts w:ascii="Century Gothic" w:hAnsi="Century Gothic" w:cs="Calibri"/>
        </w:rPr>
        <w:t>provisionándose</w:t>
      </w:r>
      <w:r w:rsidRPr="003A55A1">
        <w:rPr>
          <w:rFonts w:ascii="Century Gothic" w:hAnsi="Century Gothic"/>
        </w:rPr>
        <w:t xml:space="preserve"> registrándose en activo</w:t>
      </w:r>
      <w:r w:rsidR="00AF1431" w:rsidRPr="003A55A1">
        <w:rPr>
          <w:rFonts w:ascii="Century Gothic" w:hAnsi="Century Gothic"/>
        </w:rPr>
        <w:t xml:space="preserve"> no circulante, pero pendiente</w:t>
      </w:r>
      <w:r w:rsidRPr="003A55A1">
        <w:rPr>
          <w:rFonts w:ascii="Century Gothic" w:hAnsi="Century Gothic"/>
        </w:rPr>
        <w:t xml:space="preserve"> de pago mo</w:t>
      </w:r>
      <w:r w:rsidR="00E9740C" w:rsidRPr="003A55A1">
        <w:rPr>
          <w:rFonts w:ascii="Century Gothic" w:hAnsi="Century Gothic"/>
        </w:rPr>
        <w:t>tivo por el que no se considera</w:t>
      </w:r>
      <w:r w:rsidRPr="003A55A1">
        <w:rPr>
          <w:rFonts w:ascii="Century Gothic" w:hAnsi="Century Gothic"/>
        </w:rPr>
        <w:t xml:space="preserve"> flujo de efectivo. </w:t>
      </w:r>
    </w:p>
    <w:p w:rsidR="00AF1431" w:rsidRPr="003A55A1" w:rsidRDefault="00C46197" w:rsidP="00AF1431">
      <w:pPr>
        <w:spacing w:before="100" w:beforeAutospacing="1" w:after="100" w:afterAutospacing="1" w:line="240" w:lineRule="auto"/>
        <w:jc w:val="both"/>
        <w:rPr>
          <w:rFonts w:ascii="Century Gothic" w:hAnsi="Century Gothic" w:cs="Calibri"/>
        </w:rPr>
      </w:pPr>
      <w:r w:rsidRPr="003A55A1">
        <w:rPr>
          <w:rFonts w:ascii="Century Gothic" w:hAnsi="Century Gothic" w:cs="Calibri"/>
        </w:rPr>
        <w:t>Al cierre del mes de abril</w:t>
      </w:r>
      <w:r w:rsidR="00BC0DB3" w:rsidRPr="003A55A1">
        <w:rPr>
          <w:rFonts w:ascii="Century Gothic" w:hAnsi="Century Gothic" w:cs="Calibri"/>
        </w:rPr>
        <w:t xml:space="preserve"> de 2019, se efectuó la valuación de la cuenta '11120-0006-0000-00000-001</w:t>
      </w:r>
      <w:r w:rsidR="00BC0DB3" w:rsidRPr="003A55A1">
        <w:t xml:space="preserve"> </w:t>
      </w:r>
      <w:r w:rsidR="00BC0DB3" w:rsidRPr="003A55A1">
        <w:rPr>
          <w:rFonts w:ascii="Century Gothic" w:hAnsi="Century Gothic" w:cs="Calibri"/>
        </w:rPr>
        <w:t>banco Banorte  dólares 2,408.72 USD y la cuenta 11120-0006-0000-00000-002 banco Banorte dólares complemento moneda nacional , al tipo de cambio del día</w:t>
      </w:r>
      <w:r w:rsidR="00E9740C" w:rsidRPr="003A55A1">
        <w:rPr>
          <w:rFonts w:ascii="Century Gothic" w:hAnsi="Century Gothic" w:cs="Calibri"/>
        </w:rPr>
        <w:t xml:space="preserve"> 30 de abril</w:t>
      </w:r>
      <w:r w:rsidR="00BC0DB3" w:rsidRPr="003A55A1">
        <w:rPr>
          <w:rFonts w:ascii="Century Gothic" w:hAnsi="Century Gothic" w:cs="Calibri"/>
        </w:rPr>
        <w:t xml:space="preserve"> de 2019 publicado en el diario oficial de </w:t>
      </w:r>
      <w:r w:rsidR="00AF1431" w:rsidRPr="003A55A1">
        <w:rPr>
          <w:rFonts w:ascii="Century Gothic" w:hAnsi="Century Gothic" w:cs="Calibri"/>
        </w:rPr>
        <w:t>la federación que es de $19.0120</w:t>
      </w:r>
      <w:r w:rsidR="00BC0DB3" w:rsidRPr="003A55A1">
        <w:rPr>
          <w:rFonts w:ascii="Century Gothic" w:hAnsi="Century Gothic" w:cs="Calibri"/>
        </w:rPr>
        <w:t xml:space="preserve"> y que estaban valuadas al tipo de cambio de $</w:t>
      </w:r>
      <w:r w:rsidR="00E9740C" w:rsidRPr="003A55A1">
        <w:rPr>
          <w:rFonts w:ascii="Century Gothic" w:hAnsi="Century Gothic" w:cs="Calibri"/>
        </w:rPr>
        <w:t xml:space="preserve">19.3793 </w:t>
      </w:r>
      <w:r w:rsidR="00AF1431" w:rsidRPr="003A55A1">
        <w:rPr>
          <w:rFonts w:ascii="Century Gothic" w:hAnsi="Century Gothic" w:cs="Calibri"/>
        </w:rPr>
        <w:t>del día 29 de marzo</w:t>
      </w:r>
      <w:r w:rsidR="00BC0DB3" w:rsidRPr="003A55A1">
        <w:rPr>
          <w:rFonts w:ascii="Century Gothic" w:hAnsi="Century Gothic" w:cs="Calibri"/>
        </w:rPr>
        <w:t xml:space="preserve"> de 2019</w:t>
      </w:r>
      <w:r w:rsidR="00BC0DB3" w:rsidRPr="003A55A1">
        <w:rPr>
          <w:rFonts w:ascii="Arial" w:hAnsi="Arial" w:cs="Arial"/>
          <w:bCs/>
        </w:rPr>
        <w:t xml:space="preserve"> </w:t>
      </w:r>
      <w:r w:rsidR="00BC0DB3" w:rsidRPr="003A55A1">
        <w:rPr>
          <w:rFonts w:ascii="Century Gothic" w:hAnsi="Century Gothic" w:cs="Calibri"/>
        </w:rPr>
        <w:t xml:space="preserve">que fue cuando se realizó la  valuación al cierre de ese mes generándose </w:t>
      </w:r>
      <w:r w:rsidR="00AF1431" w:rsidRPr="003A55A1">
        <w:rPr>
          <w:rFonts w:ascii="Century Gothic" w:hAnsi="Century Gothic" w:cs="Calibri"/>
        </w:rPr>
        <w:t>una variación cambiaria negativa</w:t>
      </w:r>
      <w:r w:rsidR="00BC0DB3" w:rsidRPr="003A55A1">
        <w:rPr>
          <w:rFonts w:ascii="Century Gothic" w:hAnsi="Century Gothic" w:cs="Calibri"/>
        </w:rPr>
        <w:t xml:space="preserve"> por la cantidad de $</w:t>
      </w:r>
      <w:r w:rsidR="00AF1431" w:rsidRPr="003A55A1">
        <w:rPr>
          <w:rFonts w:ascii="Century Gothic" w:hAnsi="Century Gothic" w:cs="Calibri"/>
        </w:rPr>
        <w:t xml:space="preserve">884.72 </w:t>
      </w:r>
      <w:r w:rsidR="00BC0DB3" w:rsidRPr="003A55A1">
        <w:rPr>
          <w:rFonts w:ascii="Century Gothic" w:hAnsi="Century Gothic" w:cs="Calibri"/>
        </w:rPr>
        <w:t>misma que se registró de la siguiente manera: cargo a la cuenta</w:t>
      </w:r>
      <w:r w:rsidR="00AF1431" w:rsidRPr="003A55A1">
        <w:rPr>
          <w:rFonts w:ascii="Century Gothic" w:hAnsi="Century Gothic" w:cs="Calibri"/>
        </w:rPr>
        <w:t xml:space="preserve"> 55940-0001-0000-00000-000 diferencias por tipo de cambio negativas en efectivo por $884.72 y abono a la cuenta 11120-0006-0000-00000-002 Banco Banorte dólares complemento moneda nacional $884.72.</w:t>
      </w:r>
    </w:p>
    <w:p w:rsidR="00C46197" w:rsidRPr="003A55A1" w:rsidRDefault="00C46197" w:rsidP="00C46197">
      <w:pPr>
        <w:spacing w:before="100" w:beforeAutospacing="1" w:after="100" w:afterAutospacing="1" w:line="240" w:lineRule="auto"/>
        <w:jc w:val="both"/>
        <w:rPr>
          <w:rFonts w:ascii="Times New Roman" w:hAnsi="Times New Roman"/>
          <w:lang w:val="es-MX" w:eastAsia="es-MX"/>
        </w:rPr>
      </w:pPr>
      <w:r w:rsidRPr="003A55A1">
        <w:rPr>
          <w:rFonts w:ascii="Century Gothic" w:hAnsi="Century Gothic"/>
          <w:lang w:val="es-MX" w:eastAsia="es-MX"/>
        </w:rPr>
        <w:t>En el mes de abril</w:t>
      </w:r>
      <w:r w:rsidR="00BC0DB3" w:rsidRPr="003A55A1">
        <w:rPr>
          <w:rFonts w:ascii="Century Gothic" w:hAnsi="Century Gothic"/>
          <w:lang w:val="es-MX" w:eastAsia="es-MX"/>
        </w:rPr>
        <w:t xml:space="preserve"> de 2019, para  tener  disponible para  efectos presupuestales el ingreso por  recaudar proveniente de los   remanentes  de  ejercicios anteriores</w:t>
      </w:r>
      <w:r w:rsidR="00BC0DB3" w:rsidRPr="003A55A1">
        <w:rPr>
          <w:rFonts w:ascii="Century Gothic" w:hAnsi="Century Gothic" w:cs="Calibri"/>
        </w:rPr>
        <w:t xml:space="preserve"> se cargó a la cuenta 32200-0007-0000-00000-000 aplicación de remanente de ejercicio 2015 por la cantidad de $</w:t>
      </w:r>
      <w:r w:rsidRPr="003A55A1">
        <w:rPr>
          <w:rFonts w:ascii="Century Gothic" w:hAnsi="Century Gothic" w:cs="Calibri"/>
        </w:rPr>
        <w:t>615,974.28</w:t>
      </w:r>
      <w:r w:rsidR="00BC0DB3" w:rsidRPr="003A55A1">
        <w:rPr>
          <w:rFonts w:ascii="Century Gothic" w:hAnsi="Century Gothic" w:cs="Calibri"/>
        </w:rPr>
        <w:t xml:space="preserve"> </w:t>
      </w:r>
      <w:r w:rsidR="00BC0DB3" w:rsidRPr="003A55A1">
        <w:rPr>
          <w:rFonts w:ascii="Century Gothic" w:hAnsi="Century Gothic"/>
          <w:lang w:val="es-MX" w:eastAsia="es-MX"/>
        </w:rPr>
        <w:t xml:space="preserve">y se abonó a  la  cuenta </w:t>
      </w:r>
      <w:r w:rsidR="00BC0DB3" w:rsidRPr="003A55A1">
        <w:rPr>
          <w:rFonts w:ascii="Century Gothic" w:hAnsi="Century Gothic" w:cs="Calibri"/>
        </w:rPr>
        <w:t>32200-0301-1700-00006-003 aplicaciones de remanente presupuestal 2015 la cantidad de $</w:t>
      </w:r>
      <w:r w:rsidRPr="003A55A1">
        <w:rPr>
          <w:rFonts w:ascii="Century Gothic" w:hAnsi="Century Gothic" w:cs="Calibri"/>
        </w:rPr>
        <w:t>615,974.28</w:t>
      </w:r>
      <w:r w:rsidR="00BC0DB3" w:rsidRPr="003A55A1">
        <w:rPr>
          <w:rFonts w:ascii="Century Gothic" w:hAnsi="Century Gothic" w:cs="Calibri"/>
        </w:rPr>
        <w:t xml:space="preserve">. </w:t>
      </w:r>
      <w:r w:rsidRPr="003A55A1">
        <w:rPr>
          <w:rFonts w:ascii="Century Gothic" w:hAnsi="Century Gothic"/>
          <w:lang w:val="es-MX" w:eastAsia="es-MX"/>
        </w:rPr>
        <w:t>El  neto de  las afectaciones  contables  mencionadas  a  nivel  cuenta  de  mayor  es $0.00.</w:t>
      </w:r>
      <w:r w:rsidRPr="003A55A1">
        <w:rPr>
          <w:rFonts w:ascii="Times New Roman" w:hAnsi="Times New Roman"/>
          <w:lang w:val="es-MX" w:eastAsia="es-MX"/>
        </w:rPr>
        <w:t xml:space="preserve"> </w:t>
      </w:r>
    </w:p>
    <w:p w:rsidR="00BC0DB3" w:rsidRPr="003A55A1" w:rsidRDefault="00C46197" w:rsidP="003A5CBF">
      <w:pPr>
        <w:spacing w:before="100" w:beforeAutospacing="1" w:after="100" w:afterAutospacing="1" w:line="240" w:lineRule="auto"/>
        <w:jc w:val="both"/>
        <w:rPr>
          <w:rFonts w:ascii="Century Gothic" w:hAnsi="Century Gothic" w:cs="Calibri"/>
        </w:rPr>
      </w:pPr>
      <w:r w:rsidRPr="003A55A1">
        <w:rPr>
          <w:rFonts w:ascii="Century Gothic" w:hAnsi="Century Gothic" w:cs="Calibri"/>
        </w:rPr>
        <w:t>En el mes de abril de 2019 se registró en donación de Carnaval Internacional Atracciones Carlon, S.A. de C.V. dos motos para la subdirección de seguridad por la cantidad de $40,000.00, cada una,derivado la propuesta de beneficios del contrato de arrendamiento de la zona sur para juegos mecánicos en el evento feria 2019.</w:t>
      </w:r>
    </w:p>
    <w:p w:rsidR="00C46197" w:rsidRPr="003A55A1" w:rsidRDefault="00C46197" w:rsidP="00C46197">
      <w:pPr>
        <w:spacing w:before="100" w:beforeAutospacing="1" w:after="100" w:afterAutospacing="1" w:line="240" w:lineRule="auto"/>
        <w:jc w:val="both"/>
        <w:rPr>
          <w:rFonts w:ascii="Century Gothic" w:hAnsi="Century Gothic"/>
          <w:lang w:val="es-MX" w:eastAsia="es-MX"/>
        </w:rPr>
      </w:pPr>
      <w:r w:rsidRPr="003A55A1">
        <w:rPr>
          <w:rFonts w:ascii="Century Gothic" w:hAnsi="Century Gothic"/>
          <w:lang w:val="es-MX" w:eastAsia="es-MX"/>
        </w:rPr>
        <w:t xml:space="preserve">En el mes de abril de 2019 </w:t>
      </w:r>
      <w:r w:rsidR="00D933C6" w:rsidRPr="003A55A1">
        <w:rPr>
          <w:rFonts w:ascii="Century Gothic" w:hAnsi="Century Gothic"/>
          <w:lang w:val="es-MX" w:eastAsia="es-MX"/>
        </w:rPr>
        <w:t>el Municipio de León depositó</w:t>
      </w:r>
      <w:r w:rsidRPr="003A55A1">
        <w:rPr>
          <w:rFonts w:ascii="Century Gothic" w:hAnsi="Century Gothic"/>
          <w:lang w:val="es-MX" w:eastAsia="es-MX"/>
        </w:rPr>
        <w:t xml:space="preserve"> a la cuenta del patronato la cantidad de </w:t>
      </w:r>
      <w:r w:rsidR="00D933C6" w:rsidRPr="003A55A1">
        <w:rPr>
          <w:rFonts w:ascii="Century Gothic" w:hAnsi="Century Gothic"/>
          <w:lang w:val="es-MX" w:eastAsia="es-MX"/>
        </w:rPr>
        <w:t>$</w:t>
      </w:r>
      <w:r w:rsidRPr="003A55A1">
        <w:rPr>
          <w:rFonts w:ascii="Century Gothic" w:hAnsi="Century Gothic"/>
          <w:lang w:val="es-MX" w:eastAsia="es-MX"/>
        </w:rPr>
        <w:t>100,000.00 derivado de Convenio de Coordinación, Colaboración y Aportación de recursos económicos  celebrado con el Municipio de León a través de las Dirección de Desarrollo Rural para apoyar a los productores del municipio de león exponiendo sus productos dentro del marco de la Feria Estatal de Leon 2019 mediante la instalación de un stand en la expo ganadera feria león 2019</w:t>
      </w:r>
      <w:r w:rsidR="00D933C6" w:rsidRPr="003A55A1">
        <w:rPr>
          <w:rFonts w:ascii="Century Gothic" w:hAnsi="Century Gothic"/>
          <w:lang w:val="es-MX" w:eastAsia="es-MX"/>
        </w:rPr>
        <w:t>, los cuales fueron pagados, en ese mismo mes, por el mismo concepto al prestador de servicios que llevo a cabo la expo ganadera en el evento feria 2019.</w:t>
      </w:r>
    </w:p>
    <w:p w:rsidR="0068520D" w:rsidRPr="003A55A1" w:rsidRDefault="0068520D" w:rsidP="0068520D">
      <w:pPr>
        <w:jc w:val="both"/>
        <w:rPr>
          <w:rFonts w:ascii="Century Gothic" w:hAnsi="Century Gothic" w:cs="Calibri"/>
        </w:rPr>
      </w:pPr>
      <w:r w:rsidRPr="003A55A1">
        <w:rPr>
          <w:rFonts w:ascii="Century Gothic" w:hAnsi="Century Gothic" w:cs="Calibri"/>
        </w:rPr>
        <w:t>En el Estado de flujos de efectivo del mes de mayo de 2019 en ACTIVIDADES DE FINANCIAMIENTO en ORIGEN en otros orígenes de financiamiento se agruparon  las variaciones de saldos  de varias cuentas de balance tales como; IVA a favor, subsidio para el empleo, deudores diversos por cobrar a corto plazo, ISR del ejercicio por pagar, otras cuentas por pagar a corto plazo y los anticipos a proveedores por adquisición de bienes y servicios, ya que el formato no trae un rubro en el que se puedan incorporar éstas.</w:t>
      </w:r>
    </w:p>
    <w:p w:rsidR="0068520D" w:rsidRPr="003A55A1" w:rsidRDefault="0068520D" w:rsidP="0068520D">
      <w:pPr>
        <w:jc w:val="both"/>
        <w:rPr>
          <w:rFonts w:ascii="Century Gothic" w:hAnsi="Century Gothic" w:cs="Calibri"/>
        </w:rPr>
      </w:pPr>
      <w:r w:rsidRPr="003A55A1">
        <w:rPr>
          <w:rFonts w:ascii="Century Gothic" w:hAnsi="Century Gothic" w:cs="Calibri"/>
        </w:rPr>
        <w:lastRenderedPageBreak/>
        <w:t>Los otros orígenes de financiamiento por la cantidad de $</w:t>
      </w:r>
      <w:r w:rsidR="00D04324" w:rsidRPr="003A55A1">
        <w:t xml:space="preserve"> </w:t>
      </w:r>
      <w:r w:rsidR="00D04324" w:rsidRPr="003A55A1">
        <w:rPr>
          <w:rFonts w:ascii="Century Gothic" w:hAnsi="Century Gothic" w:cs="Calibri"/>
        </w:rPr>
        <w:t xml:space="preserve">20,838,618.26 </w:t>
      </w:r>
      <w:r w:rsidRPr="003A55A1">
        <w:rPr>
          <w:rFonts w:ascii="Century Gothic" w:hAnsi="Century Gothic" w:cs="Calibri"/>
        </w:rPr>
        <w:t xml:space="preserve">se integra de la suma neta de: </w:t>
      </w:r>
    </w:p>
    <w:p w:rsidR="0068520D" w:rsidRPr="003A55A1" w:rsidRDefault="0068520D" w:rsidP="0068520D">
      <w:pPr>
        <w:jc w:val="both"/>
        <w:rPr>
          <w:rFonts w:ascii="Century Gothic" w:hAnsi="Century Gothic" w:cs="Calibri"/>
          <w:sz w:val="16"/>
          <w:szCs w:val="16"/>
        </w:rPr>
      </w:pPr>
      <w:r w:rsidRPr="003A55A1">
        <w:rPr>
          <w:rFonts w:ascii="Century Gothic" w:eastAsia="Times New Roman" w:hAnsi="Century Gothic"/>
          <w:color w:val="000000"/>
          <w:sz w:val="16"/>
          <w:szCs w:val="16"/>
          <w:lang w:val="es-MX" w:eastAsia="es-MX"/>
        </w:rPr>
        <w:t xml:space="preserve"> </w:t>
      </w:r>
      <w:r w:rsidRPr="003A55A1">
        <w:rPr>
          <w:rFonts w:ascii="Cambria" w:eastAsia="Times New Roman" w:hAnsi="Cambria"/>
          <w:color w:val="000000"/>
          <w:sz w:val="16"/>
          <w:szCs w:val="16"/>
          <w:lang w:val="es-MX" w:eastAsia="es-MX"/>
        </w:rPr>
        <w:t xml:space="preserve">Las </w:t>
      </w:r>
      <w:r w:rsidRPr="003A55A1">
        <w:rPr>
          <w:rFonts w:ascii="Century Gothic" w:hAnsi="Century Gothic" w:cs="Calibri"/>
          <w:sz w:val="16"/>
          <w:szCs w:val="16"/>
        </w:rPr>
        <w:t>variaciones (aplicación neta) de saldos de varias cuentas de balance tales como;</w:t>
      </w:r>
      <w:r w:rsidRPr="003A55A1">
        <w:rPr>
          <w:rFonts w:ascii="Century Gothic" w:eastAsia="Times New Roman" w:hAnsi="Century Gothic"/>
          <w:color w:val="000000"/>
          <w:sz w:val="16"/>
          <w:szCs w:val="16"/>
          <w:lang w:val="es-MX" w:eastAsia="es-MX"/>
        </w:rPr>
        <w:t xml:space="preserve"> 113100000000000000000 Anticipo a proveedores por adquisición de bienes y servicios</w:t>
      </w:r>
      <w:r w:rsidRPr="003A55A1">
        <w:rPr>
          <w:rFonts w:ascii="Century Gothic" w:hAnsi="Century Gothic" w:cs="Calibri"/>
          <w:sz w:val="16"/>
          <w:szCs w:val="16"/>
        </w:rPr>
        <w:t xml:space="preserve"> IVA a favor, subsidio para el empleo, deudores diversos por cobrar a corto plazo, ISR del ejercicio por pagar, SAT y otras cuentas por pagar a corto plazo </w:t>
      </w:r>
      <w:r w:rsidR="00D04324" w:rsidRPr="003A55A1">
        <w:rPr>
          <w:rFonts w:ascii="Century Gothic" w:hAnsi="Century Gothic" w:cs="Calibri"/>
          <w:sz w:val="16"/>
          <w:szCs w:val="16"/>
        </w:rPr>
        <w:t xml:space="preserve">  por importe de  $20,680,532.96</w:t>
      </w:r>
      <w:r w:rsidRPr="003A55A1">
        <w:rPr>
          <w:rFonts w:ascii="Century Gothic" w:hAnsi="Century Gothic" w:cs="Calibri"/>
          <w:sz w:val="16"/>
          <w:szCs w:val="16"/>
        </w:rPr>
        <w:t xml:space="preserve"> así como  la cuenta de otros gastos considerada en otras perdidas y gastos extraordinarios  por la cantidad de –39,362.85 y la cuenta de otros ingresos y beneficios por la cantidad de $197,312.55  derivadas  de comision de los cargos por servicios generados por la venta de boletos etk en feria 2019 y sanciones por entrega administrativa tardía de obra y diferencias por tipo de cambio a favor en la valuación de la cuenta Banorte dólares.</w:t>
      </w:r>
    </w:p>
    <w:p w:rsidR="00CD7D1A" w:rsidRPr="003A55A1" w:rsidRDefault="00CD7D1A" w:rsidP="00CD7D1A">
      <w:pPr>
        <w:jc w:val="both"/>
        <w:rPr>
          <w:rFonts w:ascii="Century Gothic" w:hAnsi="Century Gothic"/>
        </w:rPr>
      </w:pPr>
      <w:r w:rsidRPr="003A55A1">
        <w:rPr>
          <w:rFonts w:ascii="Century Gothic" w:hAnsi="Century Gothic" w:cs="Calibri"/>
        </w:rPr>
        <w:t>El estado de flujos de efectivo del mes de mayo de 2018 en lo relativo al renglón de bienes muebles no coincide con la nota EFE-02, debido a que en el mencionado estado, no se consideró e</w:t>
      </w:r>
      <w:r w:rsidRPr="003A55A1">
        <w:rPr>
          <w:rFonts w:ascii="Century Gothic" w:hAnsi="Century Gothic"/>
        </w:rPr>
        <w:t xml:space="preserve">l registro de la donación, de Carnaval Internacional Atracciones Carlón, S.A. de C.V., de </w:t>
      </w:r>
      <w:r w:rsidR="00E67BAC" w:rsidRPr="003A55A1">
        <w:rPr>
          <w:rFonts w:ascii="Century Gothic" w:hAnsi="Century Gothic"/>
        </w:rPr>
        <w:t>dos cuatrimotos por la cantidad de $80,000</w:t>
      </w:r>
      <w:r w:rsidRPr="003A55A1">
        <w:rPr>
          <w:rFonts w:ascii="Century Gothic" w:hAnsi="Century Gothic"/>
        </w:rPr>
        <w:t>.00, derivado de la propuesta de beneficios del contrato</w:t>
      </w:r>
      <w:r w:rsidR="00E67BAC" w:rsidRPr="003A55A1">
        <w:rPr>
          <w:rFonts w:ascii="Century Gothic" w:hAnsi="Century Gothic"/>
        </w:rPr>
        <w:t xml:space="preserve"> de arrendamiento de la zona sur</w:t>
      </w:r>
      <w:r w:rsidRPr="003A55A1">
        <w:rPr>
          <w:rFonts w:ascii="Century Gothic" w:hAnsi="Century Gothic"/>
        </w:rPr>
        <w:t xml:space="preserve"> para juegos m</w:t>
      </w:r>
      <w:r w:rsidR="00E67BAC" w:rsidRPr="003A55A1">
        <w:rPr>
          <w:rFonts w:ascii="Century Gothic" w:hAnsi="Century Gothic"/>
        </w:rPr>
        <w:t>ecánicos en el evento feria 2019</w:t>
      </w:r>
      <w:r w:rsidRPr="003A55A1">
        <w:rPr>
          <w:rFonts w:ascii="Century Gothic" w:hAnsi="Century Gothic"/>
        </w:rPr>
        <w:t>, la cual se registró en activo no circulante en bienes muebles y en la cuenta 31200-0006-0000-00000-000 donativos en es</w:t>
      </w:r>
      <w:r w:rsidR="00E67BAC" w:rsidRPr="003A55A1">
        <w:rPr>
          <w:rFonts w:ascii="Century Gothic" w:hAnsi="Century Gothic"/>
        </w:rPr>
        <w:t>pecie por la cantidad de $80,000</w:t>
      </w:r>
      <w:r w:rsidRPr="003A55A1">
        <w:rPr>
          <w:rFonts w:ascii="Century Gothic" w:hAnsi="Century Gothic"/>
        </w:rPr>
        <w:t>.00, no generando flujo de efectivo.</w:t>
      </w:r>
    </w:p>
    <w:p w:rsidR="00CD7D1A" w:rsidRPr="003A55A1" w:rsidRDefault="00CD7D1A" w:rsidP="0068520D">
      <w:pPr>
        <w:spacing w:before="100" w:beforeAutospacing="1" w:after="100" w:afterAutospacing="1" w:line="240" w:lineRule="auto"/>
        <w:jc w:val="both"/>
        <w:rPr>
          <w:rFonts w:ascii="Century Gothic" w:hAnsi="Century Gothic" w:cs="Calibri"/>
        </w:rPr>
      </w:pPr>
      <w:r w:rsidRPr="003A55A1">
        <w:rPr>
          <w:rFonts w:ascii="Century Gothic" w:hAnsi="Century Gothic" w:cs="Calibri"/>
        </w:rPr>
        <w:t xml:space="preserve">Al cierre del mes de mayo </w:t>
      </w:r>
      <w:r w:rsidR="0068520D" w:rsidRPr="003A55A1">
        <w:rPr>
          <w:rFonts w:ascii="Century Gothic" w:hAnsi="Century Gothic" w:cs="Calibri"/>
        </w:rPr>
        <w:t>de 2019, se efectuó la valuación de la cuenta '11120-0006-0000-00000-001</w:t>
      </w:r>
      <w:r w:rsidR="0068520D" w:rsidRPr="003A55A1">
        <w:t xml:space="preserve"> </w:t>
      </w:r>
      <w:r w:rsidR="0068520D" w:rsidRPr="003A55A1">
        <w:rPr>
          <w:rFonts w:ascii="Century Gothic" w:hAnsi="Century Gothic" w:cs="Calibri"/>
        </w:rPr>
        <w:t>banco Banorte  dólares 2,408.72 USD y la cuenta 11120-0006-0000-00000-002 banco Banorte dólares complemento moneda nacional , al tipo de cambio del día</w:t>
      </w:r>
      <w:r w:rsidRPr="003A55A1">
        <w:rPr>
          <w:rFonts w:ascii="Century Gothic" w:hAnsi="Century Gothic" w:cs="Calibri"/>
        </w:rPr>
        <w:t xml:space="preserve"> 31 de mayo</w:t>
      </w:r>
      <w:r w:rsidR="0068520D" w:rsidRPr="003A55A1">
        <w:rPr>
          <w:rFonts w:ascii="Century Gothic" w:hAnsi="Century Gothic" w:cs="Calibri"/>
        </w:rPr>
        <w:t xml:space="preserve"> de 2019 publicado en el diario oficial de </w:t>
      </w:r>
      <w:r w:rsidRPr="003A55A1">
        <w:rPr>
          <w:rFonts w:ascii="Century Gothic" w:hAnsi="Century Gothic" w:cs="Calibri"/>
        </w:rPr>
        <w:t>la federación que es de $19.0683</w:t>
      </w:r>
      <w:r w:rsidR="0068520D" w:rsidRPr="003A55A1">
        <w:rPr>
          <w:rFonts w:ascii="Century Gothic" w:hAnsi="Century Gothic" w:cs="Calibri"/>
        </w:rPr>
        <w:t xml:space="preserve"> y que estaban valuadas al tipo de cambio de $</w:t>
      </w:r>
      <w:r w:rsidRPr="003A55A1">
        <w:rPr>
          <w:rFonts w:ascii="Century Gothic" w:hAnsi="Century Gothic" w:cs="Calibri"/>
        </w:rPr>
        <w:t>19.0120 del día 30 de abril</w:t>
      </w:r>
      <w:r w:rsidR="0068520D" w:rsidRPr="003A55A1">
        <w:rPr>
          <w:rFonts w:ascii="Century Gothic" w:hAnsi="Century Gothic" w:cs="Calibri"/>
        </w:rPr>
        <w:t xml:space="preserve"> de 2019</w:t>
      </w:r>
      <w:r w:rsidR="0068520D" w:rsidRPr="003A55A1">
        <w:rPr>
          <w:rFonts w:ascii="Arial" w:hAnsi="Arial" w:cs="Arial"/>
          <w:bCs/>
        </w:rPr>
        <w:t xml:space="preserve"> </w:t>
      </w:r>
      <w:r w:rsidR="0068520D" w:rsidRPr="003A55A1">
        <w:rPr>
          <w:rFonts w:ascii="Century Gothic" w:hAnsi="Century Gothic" w:cs="Calibri"/>
        </w:rPr>
        <w:t xml:space="preserve">que fue cuando se realizó la  valuación al cierre de ese mes generándose una variación cambiaria </w:t>
      </w:r>
      <w:r w:rsidRPr="003A55A1">
        <w:rPr>
          <w:rFonts w:ascii="Century Gothic" w:hAnsi="Century Gothic" w:cs="Calibri"/>
        </w:rPr>
        <w:t xml:space="preserve">positiva </w:t>
      </w:r>
      <w:r w:rsidR="0068520D" w:rsidRPr="003A55A1">
        <w:rPr>
          <w:rFonts w:ascii="Century Gothic" w:hAnsi="Century Gothic" w:cs="Calibri"/>
        </w:rPr>
        <w:t>por la cantidad de $</w:t>
      </w:r>
      <w:r w:rsidRPr="003A55A1">
        <w:rPr>
          <w:rFonts w:ascii="Century Gothic" w:hAnsi="Century Gothic" w:cs="Calibri"/>
        </w:rPr>
        <w:t>135.61</w:t>
      </w:r>
      <w:r w:rsidR="0068520D" w:rsidRPr="003A55A1">
        <w:rPr>
          <w:rFonts w:ascii="Century Gothic" w:hAnsi="Century Gothic" w:cs="Calibri"/>
        </w:rPr>
        <w:t xml:space="preserve"> misma que se registró de la siguiente manera: </w:t>
      </w:r>
      <w:r w:rsidRPr="003A55A1">
        <w:rPr>
          <w:rFonts w:ascii="Century Gothic" w:hAnsi="Century Gothic" w:cs="Calibri"/>
        </w:rPr>
        <w:t>cargo a la cuenta11120-0006-0000-00000-002 Banco Banorte dólares complemento moneda nacional $135.61 y abono a la cuenta 43930-0001-0000-00000-000 diferencias por tipo de cambio a favor en efectivo por la cantidad de $135.61.</w:t>
      </w:r>
    </w:p>
    <w:p w:rsidR="0068520D" w:rsidRPr="003A55A1" w:rsidRDefault="00CD7D1A" w:rsidP="00C46197">
      <w:pPr>
        <w:spacing w:before="100" w:beforeAutospacing="1" w:after="100" w:afterAutospacing="1" w:line="240" w:lineRule="auto"/>
        <w:jc w:val="both"/>
        <w:rPr>
          <w:rFonts w:ascii="Century Gothic" w:hAnsi="Century Gothic"/>
          <w:lang w:val="es-MX" w:eastAsia="es-MX"/>
        </w:rPr>
      </w:pPr>
      <w:r w:rsidRPr="003A55A1">
        <w:rPr>
          <w:rFonts w:ascii="Century Gothic" w:hAnsi="Century Gothic"/>
          <w:lang w:val="es-MX" w:eastAsia="es-MX"/>
        </w:rPr>
        <w:t>En el mes de mayo</w:t>
      </w:r>
      <w:r w:rsidR="0068520D" w:rsidRPr="003A55A1">
        <w:rPr>
          <w:rFonts w:ascii="Century Gothic" w:hAnsi="Century Gothic"/>
          <w:lang w:val="es-MX" w:eastAsia="es-MX"/>
        </w:rPr>
        <w:t xml:space="preserve"> de 2019, para  tener  disponible para  efectos presupuestales el ingreso por  recaudar proveniente de los   remanentes  de  ejercicios anteriores</w:t>
      </w:r>
      <w:r w:rsidR="0068520D" w:rsidRPr="003A55A1">
        <w:rPr>
          <w:rFonts w:ascii="Century Gothic" w:hAnsi="Century Gothic" w:cs="Calibri"/>
        </w:rPr>
        <w:t xml:space="preserve"> se cargó a la cuenta 32200-0007-0000-00000-000 aplicación de remanente de ejercicio 2015 por la cantidad de $</w:t>
      </w:r>
      <w:r w:rsidRPr="003A55A1">
        <w:rPr>
          <w:rFonts w:ascii="Century Gothic" w:hAnsi="Century Gothic" w:cs="Calibri"/>
        </w:rPr>
        <w:t>425,074.85</w:t>
      </w:r>
      <w:r w:rsidR="0068520D" w:rsidRPr="003A55A1">
        <w:rPr>
          <w:rFonts w:ascii="Century Gothic" w:hAnsi="Century Gothic" w:cs="Calibri"/>
        </w:rPr>
        <w:t xml:space="preserve"> </w:t>
      </w:r>
      <w:r w:rsidR="0068520D" w:rsidRPr="003A55A1">
        <w:rPr>
          <w:rFonts w:ascii="Century Gothic" w:hAnsi="Century Gothic"/>
          <w:lang w:val="es-MX" w:eastAsia="es-MX"/>
        </w:rPr>
        <w:t xml:space="preserve">y se abonó a  la  cuenta </w:t>
      </w:r>
      <w:r w:rsidR="0068520D" w:rsidRPr="003A55A1">
        <w:rPr>
          <w:rFonts w:ascii="Century Gothic" w:hAnsi="Century Gothic" w:cs="Calibri"/>
        </w:rPr>
        <w:t>32200-</w:t>
      </w:r>
      <w:r w:rsidRPr="003A55A1">
        <w:rPr>
          <w:rFonts w:ascii="Century Gothic" w:hAnsi="Century Gothic" w:cs="Calibri"/>
        </w:rPr>
        <w:t xml:space="preserve">0301-1700-00006-003 </w:t>
      </w:r>
      <w:r w:rsidR="006D19F4" w:rsidRPr="003A55A1">
        <w:rPr>
          <w:rFonts w:ascii="Century Gothic" w:hAnsi="Century Gothic" w:cs="Calibri"/>
        </w:rPr>
        <w:t>aplicación</w:t>
      </w:r>
      <w:r w:rsidR="0068520D" w:rsidRPr="003A55A1">
        <w:rPr>
          <w:rFonts w:ascii="Century Gothic" w:hAnsi="Century Gothic" w:cs="Calibri"/>
        </w:rPr>
        <w:t xml:space="preserve"> de remanente presupuestal 2015 la cantidad de $</w:t>
      </w:r>
      <w:r w:rsidRPr="003A55A1">
        <w:rPr>
          <w:rFonts w:ascii="Century Gothic" w:hAnsi="Century Gothic" w:cs="Calibri"/>
        </w:rPr>
        <w:t>425,074.85</w:t>
      </w:r>
      <w:r w:rsidR="0068520D" w:rsidRPr="003A55A1">
        <w:rPr>
          <w:rFonts w:ascii="Century Gothic" w:hAnsi="Century Gothic" w:cs="Calibri"/>
        </w:rPr>
        <w:t xml:space="preserve">. </w:t>
      </w:r>
      <w:r w:rsidR="0068520D" w:rsidRPr="003A55A1">
        <w:rPr>
          <w:rFonts w:ascii="Century Gothic" w:hAnsi="Century Gothic"/>
          <w:lang w:val="es-MX" w:eastAsia="es-MX"/>
        </w:rPr>
        <w:t>El  neto de  las afectaciones  contables  menci</w:t>
      </w:r>
      <w:r w:rsidR="0048215B" w:rsidRPr="003A55A1">
        <w:rPr>
          <w:rFonts w:ascii="Century Gothic" w:hAnsi="Century Gothic"/>
          <w:lang w:val="es-MX" w:eastAsia="es-MX"/>
        </w:rPr>
        <w:t>onadas  a  nivel  cuenta cuenta  de  mayor  es $0.00.</w:t>
      </w:r>
    </w:p>
    <w:p w:rsidR="00CE090F" w:rsidRPr="003A55A1" w:rsidRDefault="00CE090F" w:rsidP="00CE090F">
      <w:pPr>
        <w:jc w:val="both"/>
        <w:rPr>
          <w:rFonts w:ascii="Century Gothic" w:hAnsi="Century Gothic" w:cs="Calibri"/>
        </w:rPr>
      </w:pPr>
      <w:r w:rsidRPr="003A55A1">
        <w:rPr>
          <w:rFonts w:ascii="Century Gothic" w:hAnsi="Century Gothic" w:cs="Calibri"/>
        </w:rPr>
        <w:t>En el Estado de flujos de efectivo del mes de junio de 2019 en ACTIVIDADES DE FINANCIAMIENTO en ORIGEN en otros orígenes de financiamiento se agruparon  las variaciones de saldos  de varias cuentas de balance tales como; IVA a favor, subsidio para el empleo, deudores diversos por cobrar a corto plazo, ISR del ejercicio por pagar, otras cuentas por pagar a corto plazo y los anticipos a proveedores por adquisición de bienes y servicios, ya que el formato no trae un rubro en el que se puedan incorporar éstas.</w:t>
      </w:r>
    </w:p>
    <w:p w:rsidR="00CE090F" w:rsidRPr="003A55A1" w:rsidRDefault="00CE090F" w:rsidP="00CE090F">
      <w:pPr>
        <w:jc w:val="both"/>
        <w:rPr>
          <w:rFonts w:ascii="Century Gothic" w:hAnsi="Century Gothic" w:cs="Calibri"/>
        </w:rPr>
      </w:pPr>
      <w:r w:rsidRPr="003A55A1">
        <w:rPr>
          <w:rFonts w:ascii="Century Gothic" w:hAnsi="Century Gothic" w:cs="Calibri"/>
        </w:rPr>
        <w:lastRenderedPageBreak/>
        <w:t>Los otros orígenes de financiamiento por la cantidad de $</w:t>
      </w:r>
      <w:r w:rsidRPr="003A55A1">
        <w:t xml:space="preserve"> 21,827,848.03 </w:t>
      </w:r>
      <w:r w:rsidRPr="003A55A1">
        <w:rPr>
          <w:rFonts w:ascii="Century Gothic" w:hAnsi="Century Gothic" w:cs="Calibri"/>
        </w:rPr>
        <w:t xml:space="preserve">se integra de la suma neta de: </w:t>
      </w:r>
    </w:p>
    <w:p w:rsidR="00CE090F" w:rsidRPr="003A55A1" w:rsidRDefault="00CE090F" w:rsidP="00CE090F">
      <w:pPr>
        <w:jc w:val="both"/>
        <w:rPr>
          <w:rFonts w:ascii="Century Gothic" w:hAnsi="Century Gothic" w:cs="Calibri"/>
          <w:sz w:val="16"/>
          <w:szCs w:val="16"/>
        </w:rPr>
      </w:pPr>
      <w:r w:rsidRPr="003A55A1">
        <w:rPr>
          <w:rFonts w:ascii="Century Gothic" w:eastAsia="Times New Roman" w:hAnsi="Century Gothic"/>
          <w:color w:val="000000"/>
          <w:sz w:val="16"/>
          <w:szCs w:val="16"/>
          <w:lang w:val="es-MX" w:eastAsia="es-MX"/>
        </w:rPr>
        <w:t xml:space="preserve"> </w:t>
      </w:r>
      <w:r w:rsidRPr="003A55A1">
        <w:rPr>
          <w:rFonts w:ascii="Cambria" w:eastAsia="Times New Roman" w:hAnsi="Cambria"/>
          <w:color w:val="000000"/>
          <w:sz w:val="16"/>
          <w:szCs w:val="16"/>
          <w:lang w:val="es-MX" w:eastAsia="es-MX"/>
        </w:rPr>
        <w:t xml:space="preserve">Las </w:t>
      </w:r>
      <w:r w:rsidRPr="003A55A1">
        <w:rPr>
          <w:rFonts w:ascii="Century Gothic" w:hAnsi="Century Gothic" w:cs="Calibri"/>
          <w:sz w:val="16"/>
          <w:szCs w:val="16"/>
        </w:rPr>
        <w:t>variaciones (aplicación neta) de saldos de varias cuentas de balance tales como;</w:t>
      </w:r>
      <w:r w:rsidRPr="003A55A1">
        <w:rPr>
          <w:rFonts w:ascii="Century Gothic" w:eastAsia="Times New Roman" w:hAnsi="Century Gothic"/>
          <w:color w:val="000000"/>
          <w:sz w:val="16"/>
          <w:szCs w:val="16"/>
          <w:lang w:val="es-MX" w:eastAsia="es-MX"/>
        </w:rPr>
        <w:t xml:space="preserve"> 113100000000000000000 Anticipo a proveedores por adquisición de bienes y servicios</w:t>
      </w:r>
      <w:r w:rsidRPr="003A55A1">
        <w:rPr>
          <w:rFonts w:ascii="Century Gothic" w:hAnsi="Century Gothic" w:cs="Calibri"/>
          <w:sz w:val="16"/>
          <w:szCs w:val="16"/>
        </w:rPr>
        <w:t xml:space="preserve"> IVA a favor, subsidio para el empleo, deudores diversos por cobrar a corto plazo, ISR del ejercicio por pagar, SAT y otras cuentas por pagar a corto plazo </w:t>
      </w:r>
      <w:r w:rsidR="00C20391" w:rsidRPr="003A55A1">
        <w:rPr>
          <w:rFonts w:ascii="Century Gothic" w:hAnsi="Century Gothic" w:cs="Calibri"/>
          <w:sz w:val="16"/>
          <w:szCs w:val="16"/>
        </w:rPr>
        <w:t xml:space="preserve">  por importe de  $21,825,756.01</w:t>
      </w:r>
      <w:r w:rsidRPr="003A55A1">
        <w:rPr>
          <w:rFonts w:ascii="Century Gothic" w:hAnsi="Century Gothic" w:cs="Calibri"/>
          <w:sz w:val="16"/>
          <w:szCs w:val="16"/>
        </w:rPr>
        <w:t xml:space="preserve"> así como  la cuenta de otros gastos considerada en otras perdidas y gastos extraordinarios  por la cantidad de –39,362.85 y la cuenta de otros ingresos y beneficio</w:t>
      </w:r>
      <w:r w:rsidR="00C20391" w:rsidRPr="003A55A1">
        <w:rPr>
          <w:rFonts w:ascii="Century Gothic" w:hAnsi="Century Gothic" w:cs="Calibri"/>
          <w:sz w:val="16"/>
          <w:szCs w:val="16"/>
        </w:rPr>
        <w:t>s por la cantidad de $41,451.85</w:t>
      </w:r>
      <w:r w:rsidRPr="003A55A1">
        <w:rPr>
          <w:rFonts w:ascii="Century Gothic" w:hAnsi="Century Gothic" w:cs="Calibri"/>
          <w:sz w:val="16"/>
          <w:szCs w:val="16"/>
        </w:rPr>
        <w:t xml:space="preserve">  derivadas  de sanciones por entrega administrativa tardía de obra y diferencias por tipo de cambio a favor en la valuación de la cuenta Banorte dólares.</w:t>
      </w:r>
    </w:p>
    <w:p w:rsidR="00CE090F" w:rsidRPr="003A55A1" w:rsidRDefault="00CE090F" w:rsidP="00CE090F">
      <w:pPr>
        <w:jc w:val="both"/>
        <w:rPr>
          <w:rFonts w:ascii="Century Gothic" w:hAnsi="Century Gothic"/>
        </w:rPr>
      </w:pPr>
      <w:r w:rsidRPr="003A55A1">
        <w:rPr>
          <w:rFonts w:ascii="Century Gothic" w:hAnsi="Century Gothic" w:cs="Calibri"/>
        </w:rPr>
        <w:t>El estado de fl</w:t>
      </w:r>
      <w:r w:rsidR="00C20391" w:rsidRPr="003A55A1">
        <w:rPr>
          <w:rFonts w:ascii="Century Gothic" w:hAnsi="Century Gothic" w:cs="Calibri"/>
        </w:rPr>
        <w:t>ujos de efectivo del mes de junio</w:t>
      </w:r>
      <w:r w:rsidRPr="003A55A1">
        <w:rPr>
          <w:rFonts w:ascii="Century Gothic" w:hAnsi="Century Gothic" w:cs="Calibri"/>
        </w:rPr>
        <w:t xml:space="preserve"> de 2018 en lo relativo al renglón de bienes muebles no coincide con la nota EFE-02, debido a que en el mencionado estado, no se consideró e</w:t>
      </w:r>
      <w:r w:rsidRPr="003A55A1">
        <w:rPr>
          <w:rFonts w:ascii="Century Gothic" w:hAnsi="Century Gothic"/>
        </w:rPr>
        <w:t>l registro de la donación, de Carnaval Internacional Atracciones Carlón, S.A. de C.V., de dos cuatrimotos por la cantidad de $80,000.00, derivado de la propuesta de beneficios del contrato de arrendamiento de la zona sur para juegos mecánicos en el evento feria 2019, la cual se registró en activo no circulante en bienes muebles y en la cuenta 31200-0006-0000-00000-000 donativos en especie por la cantidad de $80,000.00, no generando flujo de efectivo.</w:t>
      </w:r>
    </w:p>
    <w:p w:rsidR="00CE090F" w:rsidRPr="003A55A1" w:rsidRDefault="00CE090F" w:rsidP="00CE090F">
      <w:pPr>
        <w:spacing w:before="100" w:beforeAutospacing="1" w:after="100" w:afterAutospacing="1" w:line="240" w:lineRule="auto"/>
        <w:jc w:val="both"/>
        <w:rPr>
          <w:rFonts w:ascii="Century Gothic" w:hAnsi="Century Gothic" w:cs="Calibri"/>
        </w:rPr>
      </w:pPr>
      <w:r w:rsidRPr="003A55A1">
        <w:rPr>
          <w:rFonts w:ascii="Century Gothic" w:hAnsi="Century Gothic" w:cs="Calibri"/>
        </w:rPr>
        <w:t xml:space="preserve">Al cierre del mes de </w:t>
      </w:r>
      <w:r w:rsidR="00C20391" w:rsidRPr="003A55A1">
        <w:rPr>
          <w:rFonts w:ascii="Century Gothic" w:hAnsi="Century Gothic" w:cs="Calibri"/>
        </w:rPr>
        <w:t xml:space="preserve">junio </w:t>
      </w:r>
      <w:r w:rsidRPr="003A55A1">
        <w:rPr>
          <w:rFonts w:ascii="Century Gothic" w:hAnsi="Century Gothic" w:cs="Calibri"/>
        </w:rPr>
        <w:t>de 2019, se efectuó la valuación de la cuenta '11120-0006-0000-00000-001</w:t>
      </w:r>
      <w:r w:rsidRPr="003A55A1">
        <w:t xml:space="preserve"> </w:t>
      </w:r>
      <w:r w:rsidRPr="003A55A1">
        <w:rPr>
          <w:rFonts w:ascii="Century Gothic" w:hAnsi="Century Gothic" w:cs="Calibri"/>
        </w:rPr>
        <w:t>banco Banorte  dólares 2,408.72 USD y la cuenta 11120-0006-0000-00000-002 banco Banorte dólares complemento moneda nacional , al tipo de cambio del día</w:t>
      </w:r>
      <w:r w:rsidR="00C20391" w:rsidRPr="003A55A1">
        <w:rPr>
          <w:rFonts w:ascii="Century Gothic" w:hAnsi="Century Gothic" w:cs="Calibri"/>
        </w:rPr>
        <w:t xml:space="preserve"> 28 </w:t>
      </w:r>
      <w:r w:rsidRPr="003A55A1">
        <w:rPr>
          <w:rFonts w:ascii="Century Gothic" w:hAnsi="Century Gothic" w:cs="Calibri"/>
        </w:rPr>
        <w:t xml:space="preserve">de </w:t>
      </w:r>
      <w:r w:rsidR="00C20391" w:rsidRPr="003A55A1">
        <w:rPr>
          <w:rFonts w:ascii="Century Gothic" w:hAnsi="Century Gothic" w:cs="Calibri"/>
        </w:rPr>
        <w:t xml:space="preserve">junio </w:t>
      </w:r>
      <w:r w:rsidRPr="003A55A1">
        <w:rPr>
          <w:rFonts w:ascii="Century Gothic" w:hAnsi="Century Gothic" w:cs="Calibri"/>
        </w:rPr>
        <w:t xml:space="preserve">de 2019 publicado en el diario oficial de </w:t>
      </w:r>
      <w:r w:rsidR="00C20391" w:rsidRPr="003A55A1">
        <w:rPr>
          <w:rFonts w:ascii="Century Gothic" w:hAnsi="Century Gothic" w:cs="Calibri"/>
        </w:rPr>
        <w:t>la federación que es de $19.1685</w:t>
      </w:r>
      <w:r w:rsidRPr="003A55A1">
        <w:rPr>
          <w:rFonts w:ascii="Century Gothic" w:hAnsi="Century Gothic" w:cs="Calibri"/>
        </w:rPr>
        <w:t xml:space="preserve"> y que estaban valuadas al tipo de cambio de $</w:t>
      </w:r>
      <w:r w:rsidR="00C20391" w:rsidRPr="003A55A1">
        <w:rPr>
          <w:rFonts w:ascii="Century Gothic" w:hAnsi="Century Gothic" w:cs="Calibri"/>
        </w:rPr>
        <w:t xml:space="preserve">19.0683 </w:t>
      </w:r>
      <w:r w:rsidRPr="003A55A1">
        <w:rPr>
          <w:rFonts w:ascii="Century Gothic" w:hAnsi="Century Gothic" w:cs="Calibri"/>
        </w:rPr>
        <w:t xml:space="preserve">del día </w:t>
      </w:r>
      <w:r w:rsidR="00C20391" w:rsidRPr="003A55A1">
        <w:rPr>
          <w:rFonts w:ascii="Century Gothic" w:hAnsi="Century Gothic" w:cs="Calibri"/>
        </w:rPr>
        <w:t>31 de mayo</w:t>
      </w:r>
      <w:r w:rsidRPr="003A55A1">
        <w:rPr>
          <w:rFonts w:ascii="Century Gothic" w:hAnsi="Century Gothic" w:cs="Calibri"/>
        </w:rPr>
        <w:t xml:space="preserve"> de 2019</w:t>
      </w:r>
      <w:r w:rsidRPr="003A55A1">
        <w:rPr>
          <w:rFonts w:ascii="Arial" w:hAnsi="Arial" w:cs="Arial"/>
          <w:bCs/>
        </w:rPr>
        <w:t xml:space="preserve"> </w:t>
      </w:r>
      <w:r w:rsidRPr="003A55A1">
        <w:rPr>
          <w:rFonts w:ascii="Century Gothic" w:hAnsi="Century Gothic" w:cs="Calibri"/>
        </w:rPr>
        <w:t>que fue cuando se realizó la  valuación al cierre de ese mes generándose una variación cambiaria positiva por la cantidad de $</w:t>
      </w:r>
      <w:r w:rsidR="00C20391" w:rsidRPr="003A55A1">
        <w:rPr>
          <w:rFonts w:ascii="Century Gothic" w:hAnsi="Century Gothic" w:cs="Calibri"/>
        </w:rPr>
        <w:t>241.35</w:t>
      </w:r>
      <w:r w:rsidRPr="003A55A1">
        <w:rPr>
          <w:rFonts w:ascii="Century Gothic" w:hAnsi="Century Gothic" w:cs="Calibri"/>
        </w:rPr>
        <w:t xml:space="preserve"> misma que se registró de la siguiente manera: cargo a la cuenta11120-0006-0000-00000-002 Banco Banorte dólares complemento moneda nacional</w:t>
      </w:r>
      <w:r w:rsidR="00C20391" w:rsidRPr="003A55A1">
        <w:rPr>
          <w:rFonts w:ascii="Century Gothic" w:hAnsi="Century Gothic" w:cs="Calibri"/>
        </w:rPr>
        <w:t xml:space="preserve"> $241.35</w:t>
      </w:r>
      <w:r w:rsidRPr="003A55A1">
        <w:rPr>
          <w:rFonts w:ascii="Century Gothic" w:hAnsi="Century Gothic" w:cs="Calibri"/>
        </w:rPr>
        <w:t xml:space="preserve"> y abono a la cuenta 43930-0001-0000-00000-000 diferencias por tipo de cambio a favor en efectivo por la cantidad </w:t>
      </w:r>
      <w:r w:rsidR="00C20391" w:rsidRPr="003A55A1">
        <w:rPr>
          <w:rFonts w:ascii="Century Gothic" w:hAnsi="Century Gothic" w:cs="Calibri"/>
        </w:rPr>
        <w:t>de $241.35</w:t>
      </w:r>
      <w:r w:rsidRPr="003A55A1">
        <w:rPr>
          <w:rFonts w:ascii="Century Gothic" w:hAnsi="Century Gothic" w:cs="Calibri"/>
        </w:rPr>
        <w:t>.</w:t>
      </w:r>
    </w:p>
    <w:p w:rsidR="00CE090F" w:rsidRPr="003A55A1" w:rsidRDefault="00C20391" w:rsidP="00CE090F">
      <w:pPr>
        <w:spacing w:before="100" w:beforeAutospacing="1" w:after="100" w:afterAutospacing="1" w:line="240" w:lineRule="auto"/>
        <w:jc w:val="both"/>
        <w:rPr>
          <w:rFonts w:ascii="Century Gothic" w:hAnsi="Century Gothic"/>
          <w:lang w:val="es-MX" w:eastAsia="es-MX"/>
        </w:rPr>
      </w:pPr>
      <w:r w:rsidRPr="003A55A1">
        <w:rPr>
          <w:rFonts w:ascii="Century Gothic" w:hAnsi="Century Gothic"/>
          <w:lang w:val="es-MX" w:eastAsia="es-MX"/>
        </w:rPr>
        <w:t>En el mes de junio</w:t>
      </w:r>
      <w:r w:rsidR="00CE090F" w:rsidRPr="003A55A1">
        <w:rPr>
          <w:rFonts w:ascii="Century Gothic" w:hAnsi="Century Gothic"/>
          <w:lang w:val="es-MX" w:eastAsia="es-MX"/>
        </w:rPr>
        <w:t xml:space="preserve"> de 2019, para  tener  disponible para  efectos presupuestales el ingreso por  recaudar proveniente de los   remanentes  de  ejercicios anteriores</w:t>
      </w:r>
      <w:r w:rsidR="00CE090F" w:rsidRPr="003A55A1">
        <w:rPr>
          <w:rFonts w:ascii="Century Gothic" w:hAnsi="Century Gothic" w:cs="Calibri"/>
        </w:rPr>
        <w:t xml:space="preserve"> se cargó a la cuenta 32200-0007-0000-00000-000 aplicación de remanente de ejercicio 2015 por la cantidad de $</w:t>
      </w:r>
      <w:r w:rsidR="00CF6E4E" w:rsidRPr="003A55A1">
        <w:rPr>
          <w:rFonts w:ascii="Century Gothic" w:hAnsi="Century Gothic" w:cs="Calibri"/>
        </w:rPr>
        <w:t>897,000.00</w:t>
      </w:r>
      <w:r w:rsidR="00CE090F" w:rsidRPr="003A55A1">
        <w:rPr>
          <w:rFonts w:ascii="Century Gothic" w:hAnsi="Century Gothic" w:cs="Calibri"/>
        </w:rPr>
        <w:t xml:space="preserve"> </w:t>
      </w:r>
      <w:r w:rsidR="00CE090F" w:rsidRPr="003A55A1">
        <w:rPr>
          <w:rFonts w:ascii="Century Gothic" w:hAnsi="Century Gothic"/>
          <w:lang w:val="es-MX" w:eastAsia="es-MX"/>
        </w:rPr>
        <w:t xml:space="preserve">y se abonó a  la  cuenta </w:t>
      </w:r>
      <w:r w:rsidR="00CE090F" w:rsidRPr="003A55A1">
        <w:rPr>
          <w:rFonts w:ascii="Century Gothic" w:hAnsi="Century Gothic" w:cs="Calibri"/>
        </w:rPr>
        <w:t xml:space="preserve">32200-0301-1700-00006-003 </w:t>
      </w:r>
      <w:r w:rsidR="00CF6E4E" w:rsidRPr="003A55A1">
        <w:rPr>
          <w:rFonts w:ascii="Century Gothic" w:hAnsi="Century Gothic" w:cs="Calibri"/>
        </w:rPr>
        <w:t>aplicación</w:t>
      </w:r>
      <w:r w:rsidR="00CE090F" w:rsidRPr="003A55A1">
        <w:rPr>
          <w:rFonts w:ascii="Century Gothic" w:hAnsi="Century Gothic" w:cs="Calibri"/>
        </w:rPr>
        <w:t xml:space="preserve"> de remanente presupuestal 2015 la cantidad de $</w:t>
      </w:r>
      <w:r w:rsidR="00CF6E4E" w:rsidRPr="003A55A1">
        <w:rPr>
          <w:rFonts w:ascii="Century Gothic" w:hAnsi="Century Gothic" w:cs="Calibri"/>
        </w:rPr>
        <w:t>897,000.00</w:t>
      </w:r>
      <w:r w:rsidR="00CE090F" w:rsidRPr="003A55A1">
        <w:rPr>
          <w:rFonts w:ascii="Century Gothic" w:hAnsi="Century Gothic" w:cs="Calibri"/>
        </w:rPr>
        <w:t xml:space="preserve">. </w:t>
      </w:r>
      <w:r w:rsidR="00CE090F" w:rsidRPr="003A55A1">
        <w:rPr>
          <w:rFonts w:ascii="Century Gothic" w:hAnsi="Century Gothic"/>
          <w:lang w:val="es-MX" w:eastAsia="es-MX"/>
        </w:rPr>
        <w:t>El  neto de  las afectaciones  contables  menci</w:t>
      </w:r>
      <w:r w:rsidR="0048215B" w:rsidRPr="003A55A1">
        <w:rPr>
          <w:rFonts w:ascii="Century Gothic" w:hAnsi="Century Gothic"/>
          <w:lang w:val="es-MX" w:eastAsia="es-MX"/>
        </w:rPr>
        <w:t>onadas  a  nivel cuenta  de  mayor  es $0.00.</w:t>
      </w:r>
    </w:p>
    <w:p w:rsidR="00FE52FC" w:rsidRPr="003A55A1" w:rsidRDefault="00FE52FC" w:rsidP="00FE52FC">
      <w:pPr>
        <w:jc w:val="both"/>
        <w:rPr>
          <w:rFonts w:ascii="Century Gothic" w:hAnsi="Century Gothic" w:cs="Calibri"/>
        </w:rPr>
      </w:pPr>
      <w:r w:rsidRPr="003A55A1">
        <w:rPr>
          <w:rFonts w:ascii="Century Gothic" w:hAnsi="Century Gothic" w:cs="Calibri"/>
        </w:rPr>
        <w:t>En el Estado de flujos de efectivo del mes de julio de 2019 en ACTIVIDADES DE FINANCIAMIENTO en ORIGEN en otros orígenes de financiamiento se agruparon  las variaciones de saldos  de varias cuentas de balance tales como; IVA a favor, subsidio para el empleo, deudores diversos por cobrar a corto plazo, ISR del ejercicio por pagar, otras cuentas por pagar a corto plazo y los anticipos a proveedores por adquisición de bienes y servicios, ya que el formato no trae un rubro en el que se puedan incorporar éstas.</w:t>
      </w:r>
    </w:p>
    <w:p w:rsidR="00FE52FC" w:rsidRPr="003A55A1" w:rsidRDefault="00FE52FC" w:rsidP="00FE52FC">
      <w:pPr>
        <w:jc w:val="both"/>
        <w:rPr>
          <w:rFonts w:ascii="Century Gothic" w:hAnsi="Century Gothic" w:cs="Calibri"/>
        </w:rPr>
      </w:pPr>
      <w:r w:rsidRPr="003A55A1">
        <w:rPr>
          <w:rFonts w:ascii="Century Gothic" w:hAnsi="Century Gothic" w:cs="Calibri"/>
        </w:rPr>
        <w:lastRenderedPageBreak/>
        <w:t>Los otros orígenes de financiamiento por la cantidad de $</w:t>
      </w:r>
      <w:r w:rsidRPr="003A55A1">
        <w:t xml:space="preserve"> 21,897,637.10 </w:t>
      </w:r>
      <w:r w:rsidRPr="003A55A1">
        <w:rPr>
          <w:rFonts w:ascii="Century Gothic" w:hAnsi="Century Gothic" w:cs="Calibri"/>
        </w:rPr>
        <w:t xml:space="preserve">se integra de la suma neta de: </w:t>
      </w:r>
    </w:p>
    <w:p w:rsidR="00FE52FC" w:rsidRPr="003A55A1" w:rsidRDefault="00FE52FC" w:rsidP="00FE52FC">
      <w:pPr>
        <w:jc w:val="both"/>
        <w:rPr>
          <w:rFonts w:ascii="Century Gothic" w:hAnsi="Century Gothic" w:cs="Calibri"/>
          <w:sz w:val="16"/>
          <w:szCs w:val="16"/>
        </w:rPr>
      </w:pPr>
      <w:r w:rsidRPr="003A55A1">
        <w:rPr>
          <w:rFonts w:ascii="Century Gothic" w:eastAsia="Times New Roman" w:hAnsi="Century Gothic"/>
          <w:color w:val="000000"/>
          <w:sz w:val="16"/>
          <w:szCs w:val="16"/>
          <w:lang w:val="es-MX" w:eastAsia="es-MX"/>
        </w:rPr>
        <w:t xml:space="preserve"> </w:t>
      </w:r>
      <w:r w:rsidRPr="003A55A1">
        <w:rPr>
          <w:rFonts w:ascii="Cambria" w:eastAsia="Times New Roman" w:hAnsi="Cambria"/>
          <w:color w:val="000000"/>
          <w:sz w:val="16"/>
          <w:szCs w:val="16"/>
          <w:lang w:val="es-MX" w:eastAsia="es-MX"/>
        </w:rPr>
        <w:t xml:space="preserve">Las </w:t>
      </w:r>
      <w:r w:rsidRPr="003A55A1">
        <w:rPr>
          <w:rFonts w:ascii="Century Gothic" w:hAnsi="Century Gothic" w:cs="Calibri"/>
          <w:sz w:val="16"/>
          <w:szCs w:val="16"/>
        </w:rPr>
        <w:t>variaciones (aplicación neta) de saldos de varias cuentas de balance tales como;</w:t>
      </w:r>
      <w:r w:rsidRPr="003A55A1">
        <w:rPr>
          <w:rFonts w:ascii="Century Gothic" w:eastAsia="Times New Roman" w:hAnsi="Century Gothic"/>
          <w:color w:val="000000"/>
          <w:sz w:val="16"/>
          <w:szCs w:val="16"/>
          <w:lang w:val="es-MX" w:eastAsia="es-MX"/>
        </w:rPr>
        <w:t xml:space="preserve"> 113100000000000000000 Anticipo a proveedores por adquisición de bienes y servicios</w:t>
      </w:r>
      <w:r w:rsidRPr="003A55A1">
        <w:rPr>
          <w:rFonts w:ascii="Century Gothic" w:hAnsi="Century Gothic" w:cs="Calibri"/>
          <w:sz w:val="16"/>
          <w:szCs w:val="16"/>
        </w:rPr>
        <w:t xml:space="preserve"> IVA a favor, subsidio para el empleo, deudores diversos por cobrar a corto plazo, ISR del ejercicio por pagar, SAT y otras cuentas por pagar a corto plazo </w:t>
      </w:r>
      <w:r w:rsidR="008430F2" w:rsidRPr="003A55A1">
        <w:rPr>
          <w:rFonts w:ascii="Century Gothic" w:hAnsi="Century Gothic" w:cs="Calibri"/>
          <w:sz w:val="16"/>
          <w:szCs w:val="16"/>
        </w:rPr>
        <w:t xml:space="preserve">  por importe de  $21,895,771.04</w:t>
      </w:r>
      <w:r w:rsidRPr="003A55A1">
        <w:rPr>
          <w:rFonts w:ascii="Century Gothic" w:hAnsi="Century Gothic" w:cs="Calibri"/>
          <w:sz w:val="16"/>
          <w:szCs w:val="16"/>
        </w:rPr>
        <w:t xml:space="preserve"> así como  la cuenta de otros gastos considerada en otras perdidas y gastos extraordinarios  por la cantidad de –39,362.85 y la cuenta de otros ingresos y beneficios por la cantidad de $41,451.85  derivadas  de sanciones por entrega administrativa tardía de obra y diferencias por tipo de cambio a favor en la valuación de la cuenta Banorte dólares.</w:t>
      </w:r>
    </w:p>
    <w:p w:rsidR="00FE52FC" w:rsidRPr="003A55A1" w:rsidRDefault="00FE52FC" w:rsidP="00FE52FC">
      <w:pPr>
        <w:jc w:val="both"/>
        <w:rPr>
          <w:rFonts w:ascii="Century Gothic" w:hAnsi="Century Gothic"/>
        </w:rPr>
      </w:pPr>
      <w:r w:rsidRPr="003A55A1">
        <w:rPr>
          <w:rFonts w:ascii="Century Gothic" w:hAnsi="Century Gothic" w:cs="Calibri"/>
        </w:rPr>
        <w:t>El estado de flujos de efectivo del mes de j</w:t>
      </w:r>
      <w:r w:rsidR="008430F2" w:rsidRPr="003A55A1">
        <w:rPr>
          <w:rFonts w:ascii="Century Gothic" w:hAnsi="Century Gothic" w:cs="Calibri"/>
        </w:rPr>
        <w:t>ulio de 2019</w:t>
      </w:r>
      <w:r w:rsidRPr="003A55A1">
        <w:rPr>
          <w:rFonts w:ascii="Century Gothic" w:hAnsi="Century Gothic" w:cs="Calibri"/>
        </w:rPr>
        <w:t xml:space="preserve"> en lo relativo al renglón de bienes muebles no coincide con la nota EFE-02, debido a que en el mencionado estado, no se consideró e</w:t>
      </w:r>
      <w:r w:rsidRPr="003A55A1">
        <w:rPr>
          <w:rFonts w:ascii="Century Gothic" w:hAnsi="Century Gothic"/>
        </w:rPr>
        <w:t>l registro de la donación, de Carnaval Internacional Atracciones Carlón, S.A. de C.V., de dos cuatrimotos por la cantidad de $80,000.00, derivado de la propuesta de beneficios del contrato de arrendamiento de la zona sur para juegos mecánicos en el evento feria 2019, la cual se registró en activo no circulante en bienes muebles y en la cuenta 31200-0006-0000-00000-000 donativos en especie por la cantidad de $80,000.00, no generando flujo de efectivo.</w:t>
      </w:r>
    </w:p>
    <w:p w:rsidR="008430F2" w:rsidRPr="003A55A1" w:rsidRDefault="008430F2" w:rsidP="00FE52FC">
      <w:pPr>
        <w:spacing w:before="100" w:beforeAutospacing="1" w:after="100" w:afterAutospacing="1" w:line="240" w:lineRule="auto"/>
        <w:jc w:val="both"/>
        <w:rPr>
          <w:rFonts w:ascii="Century Gothic" w:hAnsi="Century Gothic" w:cs="Calibri"/>
        </w:rPr>
      </w:pPr>
      <w:r w:rsidRPr="003A55A1">
        <w:rPr>
          <w:rFonts w:ascii="Century Gothic" w:hAnsi="Century Gothic" w:cs="Calibri"/>
        </w:rPr>
        <w:t>Al cierre del mes de jul</w:t>
      </w:r>
      <w:r w:rsidR="00FE52FC" w:rsidRPr="003A55A1">
        <w:rPr>
          <w:rFonts w:ascii="Century Gothic" w:hAnsi="Century Gothic" w:cs="Calibri"/>
        </w:rPr>
        <w:t>io de 2019, se efectuó la valuación de la cuenta '11120-0006-0000-00000-001</w:t>
      </w:r>
      <w:r w:rsidR="00FE52FC" w:rsidRPr="003A55A1">
        <w:t xml:space="preserve"> </w:t>
      </w:r>
      <w:r w:rsidR="00FE52FC" w:rsidRPr="003A55A1">
        <w:rPr>
          <w:rFonts w:ascii="Century Gothic" w:hAnsi="Century Gothic" w:cs="Calibri"/>
        </w:rPr>
        <w:t>banco Banorte  dólares 2,408.72 USD y la cuenta 11120-0006-0000-00000-002 banco Banorte dólares complemento moneda naciona</w:t>
      </w:r>
      <w:r w:rsidRPr="003A55A1">
        <w:rPr>
          <w:rFonts w:ascii="Century Gothic" w:hAnsi="Century Gothic" w:cs="Calibri"/>
        </w:rPr>
        <w:t>l , al tipo de cambio del día 31 de jul</w:t>
      </w:r>
      <w:r w:rsidR="00FE52FC" w:rsidRPr="003A55A1">
        <w:rPr>
          <w:rFonts w:ascii="Century Gothic" w:hAnsi="Century Gothic" w:cs="Calibri"/>
        </w:rPr>
        <w:t xml:space="preserve">io de 2019 publicado en el diario oficial de </w:t>
      </w:r>
      <w:r w:rsidRPr="003A55A1">
        <w:rPr>
          <w:rFonts w:ascii="Century Gothic" w:hAnsi="Century Gothic" w:cs="Calibri"/>
        </w:rPr>
        <w:t>la federación que es de $19.0747</w:t>
      </w:r>
      <w:r w:rsidR="00FE52FC" w:rsidRPr="003A55A1">
        <w:rPr>
          <w:rFonts w:ascii="Century Gothic" w:hAnsi="Century Gothic" w:cs="Calibri"/>
        </w:rPr>
        <w:t xml:space="preserve"> y que estaban valuadas al tipo de cambio </w:t>
      </w:r>
      <w:r w:rsidRPr="003A55A1">
        <w:rPr>
          <w:rFonts w:ascii="Century Gothic" w:hAnsi="Century Gothic" w:cs="Calibri"/>
        </w:rPr>
        <w:t>de $19.1685 del día 28 de junio</w:t>
      </w:r>
      <w:r w:rsidR="00FE52FC" w:rsidRPr="003A55A1">
        <w:rPr>
          <w:rFonts w:ascii="Century Gothic" w:hAnsi="Century Gothic" w:cs="Calibri"/>
        </w:rPr>
        <w:t xml:space="preserve"> de 2019</w:t>
      </w:r>
      <w:r w:rsidR="00FE52FC" w:rsidRPr="003A55A1">
        <w:rPr>
          <w:rFonts w:ascii="Arial" w:hAnsi="Arial" w:cs="Arial"/>
          <w:bCs/>
        </w:rPr>
        <w:t xml:space="preserve"> </w:t>
      </w:r>
      <w:r w:rsidR="00FE52FC" w:rsidRPr="003A55A1">
        <w:rPr>
          <w:rFonts w:ascii="Century Gothic" w:hAnsi="Century Gothic" w:cs="Calibri"/>
        </w:rPr>
        <w:t xml:space="preserve">que fue cuando se realizó la  valuación al cierre de ese mes generándose </w:t>
      </w:r>
      <w:r w:rsidRPr="003A55A1">
        <w:rPr>
          <w:rFonts w:ascii="Century Gothic" w:hAnsi="Century Gothic" w:cs="Calibri"/>
        </w:rPr>
        <w:t>una variación cambiaria negativa por la cantidad de $225.94</w:t>
      </w:r>
      <w:r w:rsidR="00FE52FC" w:rsidRPr="003A55A1">
        <w:rPr>
          <w:rFonts w:ascii="Century Gothic" w:hAnsi="Century Gothic" w:cs="Calibri"/>
        </w:rPr>
        <w:t xml:space="preserve"> misma que se registró de la siguiente manera: cargo a la cuenta</w:t>
      </w:r>
      <w:r w:rsidRPr="003A55A1">
        <w:rPr>
          <w:rFonts w:ascii="Century Gothic" w:hAnsi="Century Gothic" w:cs="Calibri"/>
        </w:rPr>
        <w:t xml:space="preserve"> 55940-0001-0000-00000-000 diferencias por tipo de cambio negativas en efectivo</w:t>
      </w:r>
      <w:r w:rsidR="00FB2DC6" w:rsidRPr="003A55A1">
        <w:rPr>
          <w:rFonts w:ascii="Century Gothic" w:hAnsi="Century Gothic" w:cs="Calibri"/>
        </w:rPr>
        <w:t xml:space="preserve"> </w:t>
      </w:r>
      <w:r w:rsidRPr="003A55A1">
        <w:rPr>
          <w:rFonts w:ascii="Century Gothic" w:hAnsi="Century Gothic" w:cs="Calibri"/>
        </w:rPr>
        <w:t xml:space="preserve">$225.94 y abono a la cuenta </w:t>
      </w:r>
      <w:r w:rsidR="00FE52FC" w:rsidRPr="003A55A1">
        <w:rPr>
          <w:rFonts w:ascii="Century Gothic" w:hAnsi="Century Gothic" w:cs="Calibri"/>
        </w:rPr>
        <w:t>11120-0006-0000-00000-002 Banco Banorte dólares complemento moneda nacional $</w:t>
      </w:r>
      <w:r w:rsidRPr="003A55A1">
        <w:rPr>
          <w:rFonts w:ascii="Century Gothic" w:hAnsi="Century Gothic" w:cs="Calibri"/>
        </w:rPr>
        <w:t xml:space="preserve">225.94 </w:t>
      </w:r>
    </w:p>
    <w:p w:rsidR="002114EA" w:rsidRPr="003A55A1" w:rsidRDefault="002114EA" w:rsidP="002114EA">
      <w:pPr>
        <w:jc w:val="both"/>
        <w:rPr>
          <w:rFonts w:ascii="Century Gothic" w:hAnsi="Century Gothic" w:cs="Calibri"/>
        </w:rPr>
      </w:pPr>
      <w:r w:rsidRPr="003A55A1">
        <w:rPr>
          <w:rFonts w:ascii="Century Gothic" w:hAnsi="Century Gothic" w:cs="Calibri"/>
        </w:rPr>
        <w:t>En el Estado de flujos de efectivo del mes de agosto de 2019 en ACTIVIDADES DE FINANCIAMIENTO en ORIGEN en otros orígenes de financiamiento se agruparon  las variaciones de saldos  de varias cuentas de balance tales como; IVA a favor, subsidio para el empleo, deudores diversos por cobrar a corto plazo, ISR del ejercicio por pagar, otras cuentas por pagar a corto plazo y los anticipos a proveedores por adquisición de bienes y servicios, ya que el formato no trae un rubro en el que se puedan incorporar éstas.</w:t>
      </w:r>
    </w:p>
    <w:p w:rsidR="002114EA" w:rsidRPr="003A55A1" w:rsidRDefault="002114EA" w:rsidP="002114EA">
      <w:pPr>
        <w:jc w:val="both"/>
        <w:rPr>
          <w:rFonts w:ascii="Century Gothic" w:hAnsi="Century Gothic" w:cs="Calibri"/>
        </w:rPr>
      </w:pPr>
      <w:r w:rsidRPr="003A55A1">
        <w:rPr>
          <w:rFonts w:ascii="Century Gothic" w:hAnsi="Century Gothic" w:cs="Calibri"/>
        </w:rPr>
        <w:t>Los otros orígenes de financiamiento por la cantidad de $</w:t>
      </w:r>
      <w:r w:rsidRPr="003A55A1">
        <w:t xml:space="preserve"> 21,175,267.93 </w:t>
      </w:r>
      <w:r w:rsidRPr="003A55A1">
        <w:rPr>
          <w:rFonts w:ascii="Century Gothic" w:hAnsi="Century Gothic" w:cs="Calibri"/>
        </w:rPr>
        <w:t xml:space="preserve">se integra de la suma neta de: </w:t>
      </w:r>
    </w:p>
    <w:p w:rsidR="002114EA" w:rsidRPr="003A55A1" w:rsidRDefault="002114EA" w:rsidP="002114EA">
      <w:pPr>
        <w:jc w:val="both"/>
        <w:rPr>
          <w:rFonts w:ascii="Century Gothic" w:hAnsi="Century Gothic" w:cs="Calibri"/>
          <w:sz w:val="16"/>
          <w:szCs w:val="16"/>
        </w:rPr>
      </w:pPr>
      <w:r w:rsidRPr="003A55A1">
        <w:rPr>
          <w:rFonts w:ascii="Century Gothic" w:eastAsia="Times New Roman" w:hAnsi="Century Gothic"/>
          <w:color w:val="000000"/>
          <w:sz w:val="16"/>
          <w:szCs w:val="16"/>
          <w:lang w:val="es-MX" w:eastAsia="es-MX"/>
        </w:rPr>
        <w:t xml:space="preserve"> </w:t>
      </w:r>
      <w:r w:rsidRPr="003A55A1">
        <w:rPr>
          <w:rFonts w:ascii="Cambria" w:eastAsia="Times New Roman" w:hAnsi="Cambria"/>
          <w:color w:val="000000"/>
          <w:sz w:val="16"/>
          <w:szCs w:val="16"/>
          <w:lang w:val="es-MX" w:eastAsia="es-MX"/>
        </w:rPr>
        <w:t xml:space="preserve">Las </w:t>
      </w:r>
      <w:r w:rsidRPr="003A55A1">
        <w:rPr>
          <w:rFonts w:ascii="Century Gothic" w:hAnsi="Century Gothic" w:cs="Calibri"/>
          <w:sz w:val="16"/>
          <w:szCs w:val="16"/>
        </w:rPr>
        <w:t>variaciones (aplicación neta) de saldos de varias cuentas de balance tales como;</w:t>
      </w:r>
      <w:r w:rsidRPr="003A55A1">
        <w:rPr>
          <w:rFonts w:ascii="Century Gothic" w:eastAsia="Times New Roman" w:hAnsi="Century Gothic"/>
          <w:color w:val="000000"/>
          <w:sz w:val="16"/>
          <w:szCs w:val="16"/>
          <w:lang w:val="es-MX" w:eastAsia="es-MX"/>
        </w:rPr>
        <w:t xml:space="preserve"> 113100000000000000000 Anticipo a proveedores por adquisición de bienes y servicios</w:t>
      </w:r>
      <w:r w:rsidRPr="003A55A1">
        <w:rPr>
          <w:rFonts w:ascii="Century Gothic" w:hAnsi="Century Gothic" w:cs="Calibri"/>
          <w:sz w:val="16"/>
          <w:szCs w:val="16"/>
        </w:rPr>
        <w:t xml:space="preserve"> IVA a favor, subsidio para el empleo, deudores diversos por cobrar a corto plazo, ISR del ejercicio por pagar, SAT y otras cuentas por pagar a corto plazo </w:t>
      </w:r>
      <w:r w:rsidR="00FA2AC1" w:rsidRPr="003A55A1">
        <w:rPr>
          <w:rFonts w:ascii="Century Gothic" w:hAnsi="Century Gothic" w:cs="Calibri"/>
          <w:sz w:val="16"/>
          <w:szCs w:val="16"/>
        </w:rPr>
        <w:t xml:space="preserve">  por importe de  $21,170,924.29</w:t>
      </w:r>
      <w:r w:rsidRPr="003A55A1">
        <w:rPr>
          <w:rFonts w:ascii="Century Gothic" w:hAnsi="Century Gothic" w:cs="Calibri"/>
          <w:sz w:val="16"/>
          <w:szCs w:val="16"/>
        </w:rPr>
        <w:t xml:space="preserve"> así como  la cuenta de otros gastos considerada en otras perdidas y gastos extraordinarios  </w:t>
      </w:r>
      <w:r w:rsidR="00FA2AC1" w:rsidRPr="003A55A1">
        <w:rPr>
          <w:rFonts w:ascii="Century Gothic" w:hAnsi="Century Gothic" w:cs="Calibri"/>
          <w:sz w:val="16"/>
          <w:szCs w:val="16"/>
        </w:rPr>
        <w:t>por la cantidad de –39,588.79</w:t>
      </w:r>
      <w:r w:rsidRPr="003A55A1">
        <w:rPr>
          <w:rFonts w:ascii="Century Gothic" w:hAnsi="Century Gothic" w:cs="Calibri"/>
          <w:sz w:val="16"/>
          <w:szCs w:val="16"/>
        </w:rPr>
        <w:t xml:space="preserve"> y la cuenta de otros ingresos y benefici</w:t>
      </w:r>
      <w:r w:rsidR="00FA2AC1" w:rsidRPr="003A55A1">
        <w:rPr>
          <w:rFonts w:ascii="Century Gothic" w:hAnsi="Century Gothic" w:cs="Calibri"/>
          <w:sz w:val="16"/>
          <w:szCs w:val="16"/>
        </w:rPr>
        <w:t>os por la cantidad de $43,921.62</w:t>
      </w:r>
      <w:r w:rsidRPr="003A55A1">
        <w:rPr>
          <w:rFonts w:ascii="Century Gothic" w:hAnsi="Century Gothic" w:cs="Calibri"/>
          <w:sz w:val="16"/>
          <w:szCs w:val="16"/>
        </w:rPr>
        <w:t xml:space="preserve">  derivadas  de sanciones por entrega administrativa tardía de obra y diferencias por tipo de cambio a favor en la valuaci</w:t>
      </w:r>
      <w:r w:rsidR="00FA2AC1" w:rsidRPr="003A55A1">
        <w:rPr>
          <w:rFonts w:ascii="Century Gothic" w:hAnsi="Century Gothic" w:cs="Calibri"/>
          <w:sz w:val="16"/>
          <w:szCs w:val="16"/>
        </w:rPr>
        <w:t xml:space="preserve">ón de la cuenta Banorte dólares ademas  la cuenta de </w:t>
      </w:r>
      <w:r w:rsidR="00FA2AC1" w:rsidRPr="003A55A1">
        <w:rPr>
          <w:rFonts w:ascii="Century Gothic" w:hAnsi="Century Gothic" w:cs="Calibri"/>
          <w:sz w:val="16"/>
          <w:szCs w:val="16"/>
        </w:rPr>
        <w:lastRenderedPageBreak/>
        <w:t>otros ingresos financieros por la cantidad $ 10.81 derivado del abono de remanente por reclasificación del banco.</w:t>
      </w:r>
    </w:p>
    <w:p w:rsidR="002114EA" w:rsidRPr="003A55A1" w:rsidRDefault="002114EA" w:rsidP="002114EA">
      <w:pPr>
        <w:jc w:val="both"/>
        <w:rPr>
          <w:rFonts w:ascii="Century Gothic" w:hAnsi="Century Gothic"/>
        </w:rPr>
      </w:pPr>
      <w:r w:rsidRPr="003A55A1">
        <w:rPr>
          <w:rFonts w:ascii="Century Gothic" w:hAnsi="Century Gothic" w:cs="Calibri"/>
        </w:rPr>
        <w:t>El estado de fl</w:t>
      </w:r>
      <w:r w:rsidR="00FA2AC1" w:rsidRPr="003A55A1">
        <w:rPr>
          <w:rFonts w:ascii="Century Gothic" w:hAnsi="Century Gothic" w:cs="Calibri"/>
        </w:rPr>
        <w:t>ujos de efectivo del mes de agosto</w:t>
      </w:r>
      <w:r w:rsidRPr="003A55A1">
        <w:rPr>
          <w:rFonts w:ascii="Century Gothic" w:hAnsi="Century Gothic" w:cs="Calibri"/>
        </w:rPr>
        <w:t xml:space="preserve"> de 2019 en lo relativo al renglón de bienes muebles no coincide con la nota EFE-02, debido a que en el mencionado estado, no se consideró e</w:t>
      </w:r>
      <w:r w:rsidRPr="003A55A1">
        <w:rPr>
          <w:rFonts w:ascii="Century Gothic" w:hAnsi="Century Gothic"/>
        </w:rPr>
        <w:t>l registro de la donación, de Carnaval Internacional Atracciones Carlón, S.A. de C.V., de dos cuatrimotos por la cantidad de $80,000.00, derivado de la propuesta de beneficios del contrato de arrendamiento de la zona sur para juegos mecánicos en el evento feria 2019, la cual se registró en activo no circulante en bienes muebles y en la cuenta 31200-0006-0000-00000-000 donativos en especie por la cantidad de $80,000.00, no generando flujo de efectivo.</w:t>
      </w:r>
    </w:p>
    <w:p w:rsidR="0048215B" w:rsidRPr="003A55A1" w:rsidRDefault="00FA2AC1" w:rsidP="0048215B">
      <w:pPr>
        <w:spacing w:before="100" w:beforeAutospacing="1" w:after="100" w:afterAutospacing="1" w:line="240" w:lineRule="auto"/>
        <w:jc w:val="both"/>
        <w:rPr>
          <w:rFonts w:ascii="Century Gothic" w:hAnsi="Century Gothic" w:cs="Calibri"/>
        </w:rPr>
      </w:pPr>
      <w:r w:rsidRPr="003A55A1">
        <w:rPr>
          <w:rFonts w:ascii="Century Gothic" w:hAnsi="Century Gothic" w:cs="Calibri"/>
        </w:rPr>
        <w:t>Al cierre del mes de agosto</w:t>
      </w:r>
      <w:r w:rsidR="002114EA" w:rsidRPr="003A55A1">
        <w:rPr>
          <w:rFonts w:ascii="Century Gothic" w:hAnsi="Century Gothic" w:cs="Calibri"/>
        </w:rPr>
        <w:t xml:space="preserve"> de 2019, se efectuó la valuación de la cuenta '11120-0006-0000-00000-001</w:t>
      </w:r>
      <w:r w:rsidR="002114EA" w:rsidRPr="003A55A1">
        <w:t xml:space="preserve"> </w:t>
      </w:r>
      <w:r w:rsidR="002114EA" w:rsidRPr="003A55A1">
        <w:rPr>
          <w:rFonts w:ascii="Century Gothic" w:hAnsi="Century Gothic" w:cs="Calibri"/>
        </w:rPr>
        <w:t>banco Banorte  dólares 2,408.72 USD y la cuenta 11120-0006-0000-00000-002 banco Banorte dólares complemento moneda naciona</w:t>
      </w:r>
      <w:r w:rsidRPr="003A55A1">
        <w:rPr>
          <w:rFonts w:ascii="Century Gothic" w:hAnsi="Century Gothic" w:cs="Calibri"/>
        </w:rPr>
        <w:t>l , al tipo de cambio del día 30 de agosto</w:t>
      </w:r>
      <w:r w:rsidR="002114EA" w:rsidRPr="003A55A1">
        <w:rPr>
          <w:rFonts w:ascii="Century Gothic" w:hAnsi="Century Gothic" w:cs="Calibri"/>
        </w:rPr>
        <w:t xml:space="preserve"> de 2019 publicado en el diario oficial de la federación que es de $</w:t>
      </w:r>
      <w:r w:rsidRPr="003A55A1">
        <w:rPr>
          <w:rFonts w:ascii="Century Gothic" w:hAnsi="Century Gothic" w:cs="Calibri"/>
        </w:rPr>
        <w:t xml:space="preserve">20.0988 </w:t>
      </w:r>
      <w:r w:rsidR="002114EA" w:rsidRPr="003A55A1">
        <w:rPr>
          <w:rFonts w:ascii="Century Gothic" w:hAnsi="Century Gothic" w:cs="Calibri"/>
        </w:rPr>
        <w:t xml:space="preserve">y que estaban valuadas al tipo de cambio </w:t>
      </w:r>
      <w:r w:rsidRPr="003A55A1">
        <w:rPr>
          <w:rFonts w:ascii="Century Gothic" w:hAnsi="Century Gothic" w:cs="Calibri"/>
        </w:rPr>
        <w:t>de $19.0747  del día 31 de jul</w:t>
      </w:r>
      <w:r w:rsidR="002114EA" w:rsidRPr="003A55A1">
        <w:rPr>
          <w:rFonts w:ascii="Century Gothic" w:hAnsi="Century Gothic" w:cs="Calibri"/>
        </w:rPr>
        <w:t>io de 2019</w:t>
      </w:r>
      <w:r w:rsidR="002114EA" w:rsidRPr="003A55A1">
        <w:rPr>
          <w:rFonts w:ascii="Arial" w:hAnsi="Arial" w:cs="Arial"/>
          <w:bCs/>
        </w:rPr>
        <w:t xml:space="preserve"> </w:t>
      </w:r>
      <w:r w:rsidR="002114EA" w:rsidRPr="003A55A1">
        <w:rPr>
          <w:rFonts w:ascii="Century Gothic" w:hAnsi="Century Gothic" w:cs="Calibri"/>
        </w:rPr>
        <w:t xml:space="preserve">que fue cuando se realizó la  valuación al cierre de ese mes generándose </w:t>
      </w:r>
      <w:r w:rsidRPr="003A55A1">
        <w:rPr>
          <w:rFonts w:ascii="Century Gothic" w:hAnsi="Century Gothic" w:cs="Calibri"/>
        </w:rPr>
        <w:t>una variación cambiaria positiva</w:t>
      </w:r>
      <w:r w:rsidR="002114EA" w:rsidRPr="003A55A1">
        <w:rPr>
          <w:rFonts w:ascii="Century Gothic" w:hAnsi="Century Gothic" w:cs="Calibri"/>
        </w:rPr>
        <w:t xml:space="preserve"> por la cantidad de $</w:t>
      </w:r>
      <w:r w:rsidRPr="003A55A1">
        <w:rPr>
          <w:rFonts w:ascii="Century Gothic" w:hAnsi="Century Gothic" w:cs="Calibri"/>
        </w:rPr>
        <w:t xml:space="preserve">2,466.77 </w:t>
      </w:r>
      <w:r w:rsidR="0048215B" w:rsidRPr="003A55A1">
        <w:rPr>
          <w:rFonts w:ascii="Century Gothic" w:hAnsi="Century Gothic" w:cs="Calibri"/>
        </w:rPr>
        <w:t>misma que se registró de la siguiente manera: cargo a la cuenta11120-0006-0000-00000-002 Banco Banorte dólares complemento moneda nacional $2,466.77 y abono a la cuenta 43930-0001-0000-00000-000 diferencias por tipo de cambio a favor en efectivo por la cantidad de $2466.77.</w:t>
      </w:r>
    </w:p>
    <w:p w:rsidR="002114EA" w:rsidRPr="003A55A1" w:rsidRDefault="0048215B" w:rsidP="00FE52FC">
      <w:pPr>
        <w:spacing w:before="100" w:beforeAutospacing="1" w:after="100" w:afterAutospacing="1" w:line="240" w:lineRule="auto"/>
        <w:jc w:val="both"/>
        <w:rPr>
          <w:rFonts w:ascii="Century Gothic" w:hAnsi="Century Gothic"/>
          <w:lang w:val="es-MX" w:eastAsia="es-MX"/>
        </w:rPr>
      </w:pPr>
      <w:r w:rsidRPr="003A55A1">
        <w:rPr>
          <w:rFonts w:ascii="Century Gothic" w:hAnsi="Century Gothic"/>
          <w:lang w:val="es-MX" w:eastAsia="es-MX"/>
        </w:rPr>
        <w:t>En el mes de agosto de 2019, para  tener  disponible para  efectos presupuestales el ingreso por  recaudar proveniente de los   remanentes  de  ejercicios anteriores</w:t>
      </w:r>
      <w:r w:rsidRPr="003A55A1">
        <w:rPr>
          <w:rFonts w:ascii="Century Gothic" w:hAnsi="Century Gothic" w:cs="Calibri"/>
        </w:rPr>
        <w:t xml:space="preserve"> se cargó a la cuenta 32200-0007-0000-00000-000 aplicación de remanente de ejercicio 2015 por la cantidad de $483,000.00 </w:t>
      </w:r>
      <w:r w:rsidRPr="003A55A1">
        <w:rPr>
          <w:rFonts w:ascii="Century Gothic" w:hAnsi="Century Gothic"/>
          <w:lang w:val="es-MX" w:eastAsia="es-MX"/>
        </w:rPr>
        <w:t xml:space="preserve">y se abonó a  la  cuenta </w:t>
      </w:r>
      <w:r w:rsidRPr="003A55A1">
        <w:rPr>
          <w:rFonts w:ascii="Century Gothic" w:hAnsi="Century Gothic" w:cs="Calibri"/>
        </w:rPr>
        <w:t xml:space="preserve">32200-0301-1700-00006-003 aplicación de remanente presupuestal 2015 la cantidad de $483,000.00. </w:t>
      </w:r>
      <w:r w:rsidRPr="003A55A1">
        <w:rPr>
          <w:rFonts w:ascii="Century Gothic" w:hAnsi="Century Gothic"/>
          <w:lang w:val="es-MX" w:eastAsia="es-MX"/>
        </w:rPr>
        <w:t>El  neto de  las afectaciones  contables  mencionadas  a  nivel  cuenta  de  mayor  es $0.00.</w:t>
      </w:r>
    </w:p>
    <w:p w:rsidR="009305AD" w:rsidRPr="003A55A1" w:rsidRDefault="009305AD" w:rsidP="00FE52FC">
      <w:pPr>
        <w:spacing w:before="100" w:beforeAutospacing="1" w:after="100" w:afterAutospacing="1" w:line="240" w:lineRule="auto"/>
        <w:jc w:val="both"/>
        <w:rPr>
          <w:rFonts w:ascii="Century Gothic" w:hAnsi="Century Gothic"/>
          <w:lang w:val="es-MX" w:eastAsia="es-MX"/>
        </w:rPr>
      </w:pPr>
      <w:r w:rsidRPr="003A55A1">
        <w:rPr>
          <w:rFonts w:ascii="Century Gothic" w:hAnsi="Century Gothic"/>
          <w:lang w:val="es-MX" w:eastAsia="es-MX"/>
        </w:rPr>
        <w:t xml:space="preserve">En el mes de Agosto de 2019 se firmó convenio de aportación de recursos con el gobierno del estado de Guanajuato a través de la Secretaria de Finanzas Inversión y Administración por apoyo económico </w:t>
      </w:r>
      <w:r w:rsidR="001740C2" w:rsidRPr="003A55A1">
        <w:rPr>
          <w:rFonts w:ascii="Century Gothic" w:hAnsi="Century Gothic"/>
          <w:lang w:val="es-MX" w:eastAsia="es-MX"/>
        </w:rPr>
        <w:t xml:space="preserve">por la cantidad de $4,050,406.50 </w:t>
      </w:r>
      <w:r w:rsidRPr="003A55A1">
        <w:rPr>
          <w:rFonts w:ascii="Century Gothic" w:hAnsi="Century Gothic"/>
          <w:lang w:val="es-MX" w:eastAsia="es-MX"/>
        </w:rPr>
        <w:t>para compensar el desequilibrio en el gasto de operación 2019</w:t>
      </w:r>
      <w:r w:rsidR="001740C2" w:rsidRPr="003A55A1">
        <w:rPr>
          <w:rFonts w:ascii="Century Gothic" w:hAnsi="Century Gothic"/>
          <w:lang w:val="es-MX" w:eastAsia="es-MX"/>
        </w:rPr>
        <w:t>,debido al acuerdo del ayuntamiento tomado en sesión extraordinaria del 14 de enero en la cual se autorizó la tarifa de 0.00 por concepto de acceso a la feria león 2019 del 14 al 20 de enero.</w:t>
      </w:r>
    </w:p>
    <w:p w:rsidR="00637FCC" w:rsidRPr="003A55A1" w:rsidRDefault="00637FCC" w:rsidP="00637FCC">
      <w:pPr>
        <w:jc w:val="both"/>
        <w:rPr>
          <w:rFonts w:ascii="Century Gothic" w:hAnsi="Century Gothic" w:cs="Calibri"/>
        </w:rPr>
      </w:pPr>
      <w:r w:rsidRPr="003A55A1">
        <w:rPr>
          <w:rFonts w:ascii="Century Gothic" w:hAnsi="Century Gothic" w:cs="Calibri"/>
        </w:rPr>
        <w:t>En el Estado de flujos de efectivo del mes de septiembre de 2019 en ACTIVIDADES DE FINANCIAMIENTO en ORIGEN en otros orígenes de financiamiento se agruparon  las variaciones de saldos  de varias cuentas de balance tales como; IVA a favor, subsidio para el empleo, deudores diversos por cobrar a corto plazo, ISR del ejercicio por pagar, otras cuentas por pagar a corto plazo y los anticipos a proveedores por adquisición de bienes y servicios, ya que el formato no trae un rubro en el que se puedan incorporar éstas.</w:t>
      </w:r>
    </w:p>
    <w:p w:rsidR="00637FCC" w:rsidRPr="003A55A1" w:rsidRDefault="00637FCC" w:rsidP="00637FCC">
      <w:pPr>
        <w:jc w:val="both"/>
        <w:rPr>
          <w:rFonts w:ascii="Century Gothic" w:hAnsi="Century Gothic" w:cs="Calibri"/>
        </w:rPr>
      </w:pPr>
      <w:r w:rsidRPr="003A55A1">
        <w:rPr>
          <w:rFonts w:ascii="Century Gothic" w:hAnsi="Century Gothic" w:cs="Calibri"/>
        </w:rPr>
        <w:lastRenderedPageBreak/>
        <w:t>Los otros orígenes de financiamiento por la cantidad de $</w:t>
      </w:r>
      <w:r w:rsidRPr="003A55A1">
        <w:t xml:space="preserve"> 16,320,911.51 </w:t>
      </w:r>
      <w:r w:rsidRPr="003A55A1">
        <w:rPr>
          <w:rFonts w:ascii="Century Gothic" w:hAnsi="Century Gothic" w:cs="Calibri"/>
        </w:rPr>
        <w:t xml:space="preserve">se integra de la suma neta de: </w:t>
      </w:r>
    </w:p>
    <w:p w:rsidR="00637FCC" w:rsidRPr="003A55A1" w:rsidRDefault="00637FCC" w:rsidP="00637FCC">
      <w:pPr>
        <w:jc w:val="both"/>
        <w:rPr>
          <w:rFonts w:ascii="Century Gothic" w:hAnsi="Century Gothic" w:cs="Calibri"/>
          <w:sz w:val="16"/>
          <w:szCs w:val="16"/>
        </w:rPr>
      </w:pPr>
      <w:r w:rsidRPr="003A55A1">
        <w:rPr>
          <w:rFonts w:ascii="Century Gothic" w:eastAsia="Times New Roman" w:hAnsi="Century Gothic"/>
          <w:color w:val="000000"/>
          <w:sz w:val="16"/>
          <w:szCs w:val="16"/>
          <w:lang w:val="es-MX" w:eastAsia="es-MX"/>
        </w:rPr>
        <w:t xml:space="preserve"> </w:t>
      </w:r>
      <w:r w:rsidRPr="003A55A1">
        <w:rPr>
          <w:rFonts w:ascii="Cambria" w:eastAsia="Times New Roman" w:hAnsi="Cambria"/>
          <w:color w:val="000000"/>
          <w:sz w:val="16"/>
          <w:szCs w:val="16"/>
          <w:lang w:val="es-MX" w:eastAsia="es-MX"/>
        </w:rPr>
        <w:t xml:space="preserve">Las </w:t>
      </w:r>
      <w:r w:rsidRPr="003A55A1">
        <w:rPr>
          <w:rFonts w:ascii="Century Gothic" w:hAnsi="Century Gothic" w:cs="Calibri"/>
          <w:sz w:val="16"/>
          <w:szCs w:val="16"/>
        </w:rPr>
        <w:t>variaciones (aplicación neta) de saldos de varias cuentas de balance tales como;</w:t>
      </w:r>
      <w:r w:rsidRPr="003A55A1">
        <w:rPr>
          <w:rFonts w:ascii="Century Gothic" w:eastAsia="Times New Roman" w:hAnsi="Century Gothic"/>
          <w:color w:val="000000"/>
          <w:sz w:val="16"/>
          <w:szCs w:val="16"/>
          <w:lang w:val="es-MX" w:eastAsia="es-MX"/>
        </w:rPr>
        <w:t xml:space="preserve"> 113100000000000000000 Anticipo a proveedores por adquisición de bienes y servicios</w:t>
      </w:r>
      <w:r w:rsidRPr="003A55A1">
        <w:rPr>
          <w:rFonts w:ascii="Century Gothic" w:hAnsi="Century Gothic" w:cs="Calibri"/>
          <w:sz w:val="16"/>
          <w:szCs w:val="16"/>
        </w:rPr>
        <w:t xml:space="preserve"> IVA a favor, subsidio para el empleo, deudores diversos por cobrar a corto plazo, ISR del ejercicio por pagar, SAT y otras cuentas por pagar a corto plazo   por importe de  $</w:t>
      </w:r>
      <w:r w:rsidR="00AA1728" w:rsidRPr="003A55A1">
        <w:rPr>
          <w:rFonts w:ascii="Century Gothic" w:hAnsi="Century Gothic" w:cs="Calibri"/>
          <w:sz w:val="16"/>
          <w:szCs w:val="16"/>
        </w:rPr>
        <w:t>16,317,574.71</w:t>
      </w:r>
      <w:r w:rsidRPr="003A55A1">
        <w:rPr>
          <w:rFonts w:ascii="Century Gothic" w:hAnsi="Century Gothic" w:cs="Calibri"/>
          <w:sz w:val="16"/>
          <w:szCs w:val="16"/>
        </w:rPr>
        <w:t xml:space="preserve">así como  la cuenta de otros gastos considerada en otras perdidas y gastos extraordinarios  </w:t>
      </w:r>
      <w:r w:rsidR="00AA1728" w:rsidRPr="003A55A1">
        <w:rPr>
          <w:rFonts w:ascii="Century Gothic" w:hAnsi="Century Gothic" w:cs="Calibri"/>
          <w:sz w:val="16"/>
          <w:szCs w:val="16"/>
        </w:rPr>
        <w:t>por la cantidad de 40,595.63</w:t>
      </w:r>
      <w:r w:rsidRPr="003A55A1">
        <w:rPr>
          <w:rFonts w:ascii="Century Gothic" w:hAnsi="Century Gothic" w:cs="Calibri"/>
          <w:sz w:val="16"/>
          <w:szCs w:val="16"/>
        </w:rPr>
        <w:t xml:space="preserve"> y la cuenta de otros ingresos y beneficios por la cantidad de $43,921.62  derivadas  de sanciones por entrega administrativa tardía de obra y diferencias por tipo de cambio a favor en la valuación de la cuenta Banorte dólares</w:t>
      </w:r>
      <w:r w:rsidR="00AA1728" w:rsidRPr="003A55A1">
        <w:rPr>
          <w:rFonts w:ascii="Century Gothic" w:hAnsi="Century Gothic" w:cs="Calibri"/>
          <w:sz w:val="16"/>
          <w:szCs w:val="16"/>
        </w:rPr>
        <w:t>,</w:t>
      </w:r>
      <w:r w:rsidRPr="003A55A1">
        <w:rPr>
          <w:rFonts w:ascii="Century Gothic" w:hAnsi="Century Gothic" w:cs="Calibri"/>
          <w:sz w:val="16"/>
          <w:szCs w:val="16"/>
        </w:rPr>
        <w:t xml:space="preserve"> </w:t>
      </w:r>
      <w:r w:rsidR="00AA1728" w:rsidRPr="003A55A1">
        <w:rPr>
          <w:rFonts w:ascii="Century Gothic" w:hAnsi="Century Gothic" w:cs="Calibri"/>
          <w:sz w:val="16"/>
          <w:szCs w:val="16"/>
        </w:rPr>
        <w:t>además</w:t>
      </w:r>
      <w:r w:rsidRPr="003A55A1">
        <w:rPr>
          <w:rFonts w:ascii="Century Gothic" w:hAnsi="Century Gothic" w:cs="Calibri"/>
          <w:sz w:val="16"/>
          <w:szCs w:val="16"/>
        </w:rPr>
        <w:t xml:space="preserve">  la cuenta de otros ingresos financieros por la cantidad $ 10.81 derivado del abono de remanente por reclasificación del banco.</w:t>
      </w:r>
    </w:p>
    <w:p w:rsidR="00637FCC" w:rsidRPr="003A55A1" w:rsidRDefault="00637FCC" w:rsidP="00637FCC">
      <w:pPr>
        <w:jc w:val="both"/>
        <w:rPr>
          <w:rFonts w:ascii="Century Gothic" w:hAnsi="Century Gothic"/>
        </w:rPr>
      </w:pPr>
      <w:r w:rsidRPr="003A55A1">
        <w:rPr>
          <w:rFonts w:ascii="Century Gothic" w:hAnsi="Century Gothic" w:cs="Calibri"/>
        </w:rPr>
        <w:t>El estado de fluj</w:t>
      </w:r>
      <w:r w:rsidR="00ED7EF5" w:rsidRPr="003A55A1">
        <w:rPr>
          <w:rFonts w:ascii="Century Gothic" w:hAnsi="Century Gothic" w:cs="Calibri"/>
        </w:rPr>
        <w:t>os de efectivo del mes de septiembre</w:t>
      </w:r>
      <w:r w:rsidRPr="003A55A1">
        <w:rPr>
          <w:rFonts w:ascii="Century Gothic" w:hAnsi="Century Gothic" w:cs="Calibri"/>
        </w:rPr>
        <w:t xml:space="preserve"> de 2019 en lo relativo al renglón de bienes muebles no coincide con la nota EFE-02, debido a que en el mencionado estado, no se consideró e</w:t>
      </w:r>
      <w:r w:rsidRPr="003A55A1">
        <w:rPr>
          <w:rFonts w:ascii="Century Gothic" w:hAnsi="Century Gothic"/>
        </w:rPr>
        <w:t>l registro de la donación, de Carnaval Internacional Atracciones Carlón, S.A. de C.V., de dos cuatrimotos por la cantidad de $80,000.00, derivado de la propuesta de beneficios del contrato de arrendamiento de la zona sur para juegos mecánicos en el evento feria 2019, la cual se registró en activo no circulante en bienes muebles y en la cuenta 31200-0006-0000-00000-000 donativos en especie por la cantidad de $80,000.00, no generando flujo de efectivo.</w:t>
      </w:r>
    </w:p>
    <w:p w:rsidR="00637FCC" w:rsidRPr="003A55A1" w:rsidRDefault="00ED7EF5" w:rsidP="00637FCC">
      <w:pPr>
        <w:spacing w:before="100" w:beforeAutospacing="1" w:after="100" w:afterAutospacing="1" w:line="240" w:lineRule="auto"/>
        <w:jc w:val="both"/>
        <w:rPr>
          <w:rFonts w:ascii="Century Gothic" w:hAnsi="Century Gothic" w:cs="Calibri"/>
        </w:rPr>
      </w:pPr>
      <w:r w:rsidRPr="003A55A1">
        <w:rPr>
          <w:rFonts w:ascii="Century Gothic" w:hAnsi="Century Gothic" w:cs="Calibri"/>
        </w:rPr>
        <w:t>Al cierre del mes de septiembre</w:t>
      </w:r>
      <w:r w:rsidR="00637FCC" w:rsidRPr="003A55A1">
        <w:rPr>
          <w:rFonts w:ascii="Century Gothic" w:hAnsi="Century Gothic" w:cs="Calibri"/>
        </w:rPr>
        <w:t xml:space="preserve"> de 2019, se efectuó la valuación de la cuenta '11120-0006-0000-00000-001</w:t>
      </w:r>
      <w:r w:rsidR="00637FCC" w:rsidRPr="003A55A1">
        <w:t xml:space="preserve"> </w:t>
      </w:r>
      <w:r w:rsidR="00637FCC" w:rsidRPr="003A55A1">
        <w:rPr>
          <w:rFonts w:ascii="Century Gothic" w:hAnsi="Century Gothic" w:cs="Calibri"/>
        </w:rPr>
        <w:t>banco Banorte  dólares 2,408.72 USD y la cuenta 11120-0006-0000-00000-002 banco Banorte dólares complemento moneda nacional , al tipo de cambio del día 30 de</w:t>
      </w:r>
      <w:r w:rsidR="00AA1728" w:rsidRPr="003A55A1">
        <w:rPr>
          <w:rFonts w:ascii="Century Gothic" w:hAnsi="Century Gothic" w:cs="Calibri"/>
        </w:rPr>
        <w:t xml:space="preserve"> septiembre</w:t>
      </w:r>
      <w:r w:rsidR="00637FCC" w:rsidRPr="003A55A1">
        <w:rPr>
          <w:rFonts w:ascii="Century Gothic" w:hAnsi="Century Gothic" w:cs="Calibri"/>
        </w:rPr>
        <w:t xml:space="preserve"> de 2019 publicado en el diario oficial de la federación que es de $</w:t>
      </w:r>
      <w:r w:rsidR="00AA1728" w:rsidRPr="003A55A1">
        <w:rPr>
          <w:rFonts w:ascii="Century Gothic" w:hAnsi="Century Gothic" w:cs="Calibri"/>
        </w:rPr>
        <w:t xml:space="preserve">19.6808 </w:t>
      </w:r>
      <w:r w:rsidR="00637FCC" w:rsidRPr="003A55A1">
        <w:rPr>
          <w:rFonts w:ascii="Century Gothic" w:hAnsi="Century Gothic" w:cs="Calibri"/>
        </w:rPr>
        <w:t xml:space="preserve">y que estaban valuadas al tipo de cambio </w:t>
      </w:r>
      <w:r w:rsidR="00AA1728" w:rsidRPr="003A55A1">
        <w:rPr>
          <w:rFonts w:ascii="Century Gothic" w:hAnsi="Century Gothic" w:cs="Calibri"/>
        </w:rPr>
        <w:t>de $20.0988   del día 30 de agosto</w:t>
      </w:r>
      <w:r w:rsidR="00637FCC" w:rsidRPr="003A55A1">
        <w:rPr>
          <w:rFonts w:ascii="Century Gothic" w:hAnsi="Century Gothic" w:cs="Calibri"/>
        </w:rPr>
        <w:t xml:space="preserve"> de 2019</w:t>
      </w:r>
      <w:r w:rsidR="00637FCC" w:rsidRPr="003A55A1">
        <w:rPr>
          <w:rFonts w:ascii="Arial" w:hAnsi="Arial" w:cs="Arial"/>
          <w:bCs/>
        </w:rPr>
        <w:t xml:space="preserve"> </w:t>
      </w:r>
      <w:r w:rsidR="00637FCC" w:rsidRPr="003A55A1">
        <w:rPr>
          <w:rFonts w:ascii="Century Gothic" w:hAnsi="Century Gothic" w:cs="Calibri"/>
        </w:rPr>
        <w:t xml:space="preserve">que fue cuando se realizó la  valuación al cierre de ese mes generándose </w:t>
      </w:r>
      <w:r w:rsidR="00AA1728" w:rsidRPr="003A55A1">
        <w:rPr>
          <w:rFonts w:ascii="Century Gothic" w:hAnsi="Century Gothic" w:cs="Calibri"/>
        </w:rPr>
        <w:t>una variación cambiaria negativa</w:t>
      </w:r>
      <w:r w:rsidR="00637FCC" w:rsidRPr="003A55A1">
        <w:rPr>
          <w:rFonts w:ascii="Century Gothic" w:hAnsi="Century Gothic" w:cs="Calibri"/>
        </w:rPr>
        <w:t xml:space="preserve"> por la cantidad de $</w:t>
      </w:r>
      <w:r w:rsidR="00AA1728" w:rsidRPr="003A55A1">
        <w:rPr>
          <w:rFonts w:ascii="Century Gothic" w:hAnsi="Century Gothic" w:cs="Calibri"/>
        </w:rPr>
        <w:t>1,006.84</w:t>
      </w:r>
      <w:r w:rsidR="00637FCC" w:rsidRPr="003A55A1">
        <w:rPr>
          <w:rFonts w:ascii="Century Gothic" w:hAnsi="Century Gothic" w:cs="Calibri"/>
        </w:rPr>
        <w:t xml:space="preserve"> misma que se registró de la siguiente manera: cargo a la </w:t>
      </w:r>
      <w:r w:rsidR="00AA1728" w:rsidRPr="003A55A1">
        <w:rPr>
          <w:rFonts w:ascii="Century Gothic" w:hAnsi="Century Gothic" w:cs="Calibri"/>
        </w:rPr>
        <w:t xml:space="preserve">cuenta 55940-0001-0000-00000-000 Diferencias por tipo de cambio negativas en efectivo y equivalentes por la cantidad de $1,006.84 </w:t>
      </w:r>
      <w:r w:rsidR="00637FCC" w:rsidRPr="003A55A1">
        <w:rPr>
          <w:rFonts w:ascii="Century Gothic" w:hAnsi="Century Gothic" w:cs="Calibri"/>
        </w:rPr>
        <w:t>y abono</w:t>
      </w:r>
      <w:r w:rsidR="00AA1728" w:rsidRPr="003A55A1">
        <w:rPr>
          <w:rFonts w:ascii="Century Gothic" w:hAnsi="Century Gothic" w:cs="Calibri"/>
        </w:rPr>
        <w:t xml:space="preserve"> a la cuenta 11120-0006-0000-00000-002 Banco Banorte dólares complemento moneda nacional $1,006.84</w:t>
      </w:r>
      <w:r w:rsidR="00637FCC" w:rsidRPr="003A55A1">
        <w:rPr>
          <w:rFonts w:ascii="Century Gothic" w:hAnsi="Century Gothic" w:cs="Calibri"/>
        </w:rPr>
        <w:t>.</w:t>
      </w:r>
    </w:p>
    <w:p w:rsidR="00637FCC" w:rsidRPr="003A55A1" w:rsidRDefault="00B75381" w:rsidP="00637FCC">
      <w:pPr>
        <w:spacing w:before="100" w:beforeAutospacing="1" w:after="100" w:afterAutospacing="1" w:line="240" w:lineRule="auto"/>
        <w:jc w:val="both"/>
        <w:rPr>
          <w:rFonts w:ascii="Century Gothic" w:hAnsi="Century Gothic"/>
          <w:lang w:val="es-MX" w:eastAsia="es-MX"/>
        </w:rPr>
      </w:pPr>
      <w:r w:rsidRPr="003A55A1">
        <w:rPr>
          <w:rFonts w:ascii="Century Gothic" w:hAnsi="Century Gothic"/>
          <w:lang w:val="es-MX" w:eastAsia="es-MX"/>
        </w:rPr>
        <w:t xml:space="preserve">En el mes de septiembre de 2019 se recibió depósito por la cantidad de $4,050,406.50 </w:t>
      </w:r>
      <w:r w:rsidR="00637FCC" w:rsidRPr="003A55A1">
        <w:rPr>
          <w:rFonts w:ascii="Century Gothic" w:hAnsi="Century Gothic"/>
          <w:lang w:val="es-MX" w:eastAsia="es-MX"/>
        </w:rPr>
        <w:t xml:space="preserve"> </w:t>
      </w:r>
      <w:r w:rsidRPr="003A55A1">
        <w:rPr>
          <w:rFonts w:ascii="Century Gothic" w:hAnsi="Century Gothic"/>
          <w:lang w:val="es-MX" w:eastAsia="es-MX"/>
        </w:rPr>
        <w:t xml:space="preserve">derivado del </w:t>
      </w:r>
      <w:r w:rsidR="00637FCC" w:rsidRPr="003A55A1">
        <w:rPr>
          <w:rFonts w:ascii="Century Gothic" w:hAnsi="Century Gothic"/>
          <w:lang w:val="es-MX" w:eastAsia="es-MX"/>
        </w:rPr>
        <w:t>convenio de aportación de recursos con el gobierno del estado de Guanajuato a través de la Secretaria de Finanzas Inversión y Administr</w:t>
      </w:r>
      <w:r w:rsidRPr="003A55A1">
        <w:rPr>
          <w:rFonts w:ascii="Century Gothic" w:hAnsi="Century Gothic"/>
          <w:lang w:val="es-MX" w:eastAsia="es-MX"/>
        </w:rPr>
        <w:t xml:space="preserve">ación por apoyo económico </w:t>
      </w:r>
      <w:r w:rsidR="00637FCC" w:rsidRPr="003A55A1">
        <w:rPr>
          <w:rFonts w:ascii="Century Gothic" w:hAnsi="Century Gothic"/>
          <w:lang w:val="es-MX" w:eastAsia="es-MX"/>
        </w:rPr>
        <w:t>para compensar el desequilibrio en el gasto de operación 2019,debido al acuerdo del ayuntamiento tomado en sesión extraordinaria del 14 de enero en la cual se autorizó la tarifa de 0.00 por concepto de acceso a la feria león 2019 del 14 al 20 de enero.</w:t>
      </w:r>
    </w:p>
    <w:p w:rsidR="00B75381" w:rsidRPr="003A55A1" w:rsidRDefault="00B75381" w:rsidP="00637FCC">
      <w:pPr>
        <w:spacing w:before="100" w:beforeAutospacing="1" w:after="100" w:afterAutospacing="1" w:line="240" w:lineRule="auto"/>
        <w:jc w:val="both"/>
        <w:rPr>
          <w:rFonts w:ascii="Century Gothic" w:hAnsi="Century Gothic"/>
          <w:lang w:val="es-MX" w:eastAsia="es-MX"/>
        </w:rPr>
      </w:pPr>
      <w:r w:rsidRPr="003A55A1">
        <w:rPr>
          <w:rFonts w:ascii="Century Gothic" w:hAnsi="Century Gothic"/>
          <w:lang w:val="es-MX" w:eastAsia="es-MX"/>
        </w:rPr>
        <w:t xml:space="preserve">En el mes de septiembre de 2019, se autorizó la firma del convenio de colaboración y aportación de recursos celebrado con Gobierno del Estado de Guanajuato a través de la Secretaria de Turismo para la realización de acciones en materia de desarrollo turístico en la construcción de un salón de formación y convivencia en el interior del parque explora en las instalaciones del recinto ferial de león  por una aportación total de $2,700,000.00 conformada por aportación de este patronato por $1,350,000.00 y aportación </w:t>
      </w:r>
      <w:r w:rsidRPr="003A55A1">
        <w:rPr>
          <w:rFonts w:ascii="Century Gothic" w:hAnsi="Century Gothic"/>
          <w:lang w:val="es-MX" w:eastAsia="es-MX"/>
        </w:rPr>
        <w:lastRenderedPageBreak/>
        <w:t>de la secretaria de turismo por $1,350,000.00, autorizándose también la ampliación al pronóstico de ingresos y presupuesto de egresos por $1,350,000.00 correspondiente a la aportación de la Secretaria de Turismo.</w:t>
      </w:r>
    </w:p>
    <w:p w:rsidR="00566DA9" w:rsidRPr="003A55A1" w:rsidRDefault="00566DA9" w:rsidP="00566DA9">
      <w:pPr>
        <w:jc w:val="both"/>
        <w:rPr>
          <w:rFonts w:ascii="Century Gothic" w:hAnsi="Century Gothic" w:cs="Calibri"/>
        </w:rPr>
      </w:pPr>
      <w:r w:rsidRPr="003A55A1">
        <w:rPr>
          <w:rFonts w:ascii="Century Gothic" w:hAnsi="Century Gothic" w:cs="Calibri"/>
        </w:rPr>
        <w:t>En el Estado de flujos de efect</w:t>
      </w:r>
      <w:r w:rsidR="00061311" w:rsidRPr="003A55A1">
        <w:rPr>
          <w:rFonts w:ascii="Century Gothic" w:hAnsi="Century Gothic" w:cs="Calibri"/>
        </w:rPr>
        <w:t>ivo del mes de octubre</w:t>
      </w:r>
      <w:r w:rsidRPr="003A55A1">
        <w:rPr>
          <w:rFonts w:ascii="Century Gothic" w:hAnsi="Century Gothic" w:cs="Calibri"/>
        </w:rPr>
        <w:t xml:space="preserve"> de 2019 en ACTIVIDADES DE FINANCIAMIENTO en ORIGEN en otros orígenes de financiamiento se agruparon  las variaciones de saldos  de varias cuentas de balance tales como; IVA a favor, subsidio para el empleo, deudores diversos por cobrar a corto plazo, ISR del ejercicio por pagar, otras cuentas por pagar a corto plazo y los anticipos a proveedores por adquisición de bienes y servicios, ya que el formato no trae un rubro en el que se puedan incorporar éstas.</w:t>
      </w:r>
    </w:p>
    <w:p w:rsidR="00566DA9" w:rsidRPr="003A55A1" w:rsidRDefault="00566DA9" w:rsidP="00566DA9">
      <w:pPr>
        <w:jc w:val="both"/>
        <w:rPr>
          <w:rFonts w:ascii="Century Gothic" w:hAnsi="Century Gothic" w:cs="Calibri"/>
        </w:rPr>
      </w:pPr>
      <w:r w:rsidRPr="003A55A1">
        <w:rPr>
          <w:rFonts w:ascii="Century Gothic" w:hAnsi="Century Gothic" w:cs="Calibri"/>
        </w:rPr>
        <w:t>Los otros orígenes de financiamiento por la cantidad de $</w:t>
      </w:r>
      <w:r w:rsidRPr="003A55A1">
        <w:t xml:space="preserve"> </w:t>
      </w:r>
      <w:r w:rsidR="00061311" w:rsidRPr="003A55A1">
        <w:t xml:space="preserve">14,089,689.52 </w:t>
      </w:r>
      <w:r w:rsidRPr="003A55A1">
        <w:rPr>
          <w:rFonts w:ascii="Century Gothic" w:hAnsi="Century Gothic" w:cs="Calibri"/>
        </w:rPr>
        <w:t xml:space="preserve">se integra de la suma neta de: </w:t>
      </w:r>
    </w:p>
    <w:p w:rsidR="00566DA9" w:rsidRPr="003A55A1" w:rsidRDefault="00566DA9" w:rsidP="00566DA9">
      <w:pPr>
        <w:jc w:val="both"/>
        <w:rPr>
          <w:rFonts w:ascii="Century Gothic" w:hAnsi="Century Gothic" w:cs="Calibri"/>
          <w:sz w:val="16"/>
          <w:szCs w:val="16"/>
        </w:rPr>
      </w:pPr>
      <w:r w:rsidRPr="003A55A1">
        <w:rPr>
          <w:rFonts w:ascii="Century Gothic" w:eastAsia="Times New Roman" w:hAnsi="Century Gothic"/>
          <w:color w:val="000000"/>
          <w:sz w:val="16"/>
          <w:szCs w:val="16"/>
          <w:lang w:val="es-MX" w:eastAsia="es-MX"/>
        </w:rPr>
        <w:t xml:space="preserve"> </w:t>
      </w:r>
      <w:r w:rsidRPr="003A55A1">
        <w:rPr>
          <w:rFonts w:ascii="Cambria" w:eastAsia="Times New Roman" w:hAnsi="Cambria"/>
          <w:color w:val="000000"/>
          <w:sz w:val="16"/>
          <w:szCs w:val="16"/>
          <w:lang w:val="es-MX" w:eastAsia="es-MX"/>
        </w:rPr>
        <w:t xml:space="preserve">Las </w:t>
      </w:r>
      <w:r w:rsidRPr="003A55A1">
        <w:rPr>
          <w:rFonts w:ascii="Century Gothic" w:hAnsi="Century Gothic" w:cs="Calibri"/>
          <w:sz w:val="16"/>
          <w:szCs w:val="16"/>
        </w:rPr>
        <w:t>variaciones (aplicación neta) de saldos de varias cuentas de balance tales como;</w:t>
      </w:r>
      <w:r w:rsidRPr="003A55A1">
        <w:rPr>
          <w:rFonts w:ascii="Century Gothic" w:eastAsia="Times New Roman" w:hAnsi="Century Gothic"/>
          <w:color w:val="000000"/>
          <w:sz w:val="16"/>
          <w:szCs w:val="16"/>
          <w:lang w:val="es-MX" w:eastAsia="es-MX"/>
        </w:rPr>
        <w:t xml:space="preserve"> 113100000000000000000 Anticipo a proveedores por adquisición de bienes y servicios</w:t>
      </w:r>
      <w:r w:rsidRPr="003A55A1">
        <w:rPr>
          <w:rFonts w:ascii="Century Gothic" w:hAnsi="Century Gothic" w:cs="Calibri"/>
          <w:sz w:val="16"/>
          <w:szCs w:val="16"/>
        </w:rPr>
        <w:t xml:space="preserve"> IVA a favor, subsidio para el empleo, deudores diversos por cobrar a corto plazo, ISR del ejercicio por pagar, SAT y otras cuentas por pagar a corto plazo   por importe de  $</w:t>
      </w:r>
      <w:r w:rsidR="00061311" w:rsidRPr="003A55A1">
        <w:rPr>
          <w:rFonts w:ascii="Century Gothic" w:hAnsi="Century Gothic" w:cs="Calibri"/>
          <w:sz w:val="16"/>
          <w:szCs w:val="16"/>
        </w:rPr>
        <w:t>13,296,788.51</w:t>
      </w:r>
      <w:r w:rsidRPr="003A55A1">
        <w:rPr>
          <w:rFonts w:ascii="Century Gothic" w:hAnsi="Century Gothic" w:cs="Calibri"/>
          <w:sz w:val="16"/>
          <w:szCs w:val="16"/>
        </w:rPr>
        <w:t xml:space="preserve">así como  la cuenta de otros gastos considerada en otras perdidas y gastos extraordinarios  </w:t>
      </w:r>
      <w:r w:rsidR="00061311" w:rsidRPr="003A55A1">
        <w:rPr>
          <w:rFonts w:ascii="Century Gothic" w:hAnsi="Century Gothic" w:cs="Calibri"/>
          <w:sz w:val="16"/>
          <w:szCs w:val="16"/>
        </w:rPr>
        <w:t>por la cantidad de 41,839.73</w:t>
      </w:r>
      <w:r w:rsidRPr="003A55A1">
        <w:rPr>
          <w:rFonts w:ascii="Century Gothic" w:hAnsi="Century Gothic" w:cs="Calibri"/>
          <w:sz w:val="16"/>
          <w:szCs w:val="16"/>
        </w:rPr>
        <w:t xml:space="preserve"> y la cuenta de otros ingresos y benefici</w:t>
      </w:r>
      <w:r w:rsidR="00DA0488" w:rsidRPr="003A55A1">
        <w:rPr>
          <w:rFonts w:ascii="Century Gothic" w:hAnsi="Century Gothic" w:cs="Calibri"/>
          <w:sz w:val="16"/>
          <w:szCs w:val="16"/>
        </w:rPr>
        <w:t>os por la cantidad de $834,729.93</w:t>
      </w:r>
      <w:r w:rsidRPr="003A55A1">
        <w:rPr>
          <w:rFonts w:ascii="Century Gothic" w:hAnsi="Century Gothic" w:cs="Calibri"/>
          <w:sz w:val="16"/>
          <w:szCs w:val="16"/>
        </w:rPr>
        <w:t xml:space="preserve">  derivadas  de sanciones por entrega administrativa tardía de obra y diferencias por tipo de cambio a favor en la valuación de la cuenta Banorte dólares, además  la cuenta de otros ingresos financieros por la cantidad $ 10.81 derivado del abono de remanente por reclasificación del banco.</w:t>
      </w:r>
    </w:p>
    <w:p w:rsidR="00566DA9" w:rsidRPr="003A55A1" w:rsidRDefault="00566DA9" w:rsidP="00566DA9">
      <w:pPr>
        <w:jc w:val="both"/>
        <w:rPr>
          <w:rFonts w:ascii="Century Gothic" w:hAnsi="Century Gothic"/>
        </w:rPr>
      </w:pPr>
      <w:r w:rsidRPr="003A55A1">
        <w:rPr>
          <w:rFonts w:ascii="Century Gothic" w:hAnsi="Century Gothic" w:cs="Calibri"/>
        </w:rPr>
        <w:t>El estado de fluj</w:t>
      </w:r>
      <w:r w:rsidR="00DA0488" w:rsidRPr="003A55A1">
        <w:rPr>
          <w:rFonts w:ascii="Century Gothic" w:hAnsi="Century Gothic" w:cs="Calibri"/>
        </w:rPr>
        <w:t>os d</w:t>
      </w:r>
      <w:r w:rsidR="00ED7EF5" w:rsidRPr="003A55A1">
        <w:rPr>
          <w:rFonts w:ascii="Century Gothic" w:hAnsi="Century Gothic" w:cs="Calibri"/>
        </w:rPr>
        <w:t>e efectivo del mes de octubre</w:t>
      </w:r>
      <w:r w:rsidRPr="003A55A1">
        <w:rPr>
          <w:rFonts w:ascii="Century Gothic" w:hAnsi="Century Gothic" w:cs="Calibri"/>
        </w:rPr>
        <w:t xml:space="preserve"> de 2019 en lo relativo al renglón de bienes muebles no coincide con la nota EFE-02, debido a que en el mencionado estado, no se consideró e</w:t>
      </w:r>
      <w:r w:rsidRPr="003A55A1">
        <w:rPr>
          <w:rFonts w:ascii="Century Gothic" w:hAnsi="Century Gothic"/>
        </w:rPr>
        <w:t>l registro de la donación, de Carnaval Internacional Atracciones Carlón, S.A. de C.V., de dos cuatrimotos por la cantidad de $80,000.00, derivado de la propuesta de beneficios del contrato de arrendamiento de la zona sur para juegos mecánicos en el evento feria 2019, la cual se registró en activo no circulante en bienes muebles y en la cuenta 31200-0006-0000-00000-000 donativos en especie por la cantidad de $80,000.00, no generando flujo de efectivo.</w:t>
      </w:r>
    </w:p>
    <w:p w:rsidR="00566DA9" w:rsidRPr="003A55A1" w:rsidRDefault="00ED7EF5" w:rsidP="00566DA9">
      <w:pPr>
        <w:spacing w:before="100" w:beforeAutospacing="1" w:after="100" w:afterAutospacing="1" w:line="240" w:lineRule="auto"/>
        <w:jc w:val="both"/>
        <w:rPr>
          <w:rFonts w:ascii="Century Gothic" w:hAnsi="Century Gothic" w:cs="Calibri"/>
        </w:rPr>
      </w:pPr>
      <w:r w:rsidRPr="003A55A1">
        <w:rPr>
          <w:rFonts w:ascii="Century Gothic" w:hAnsi="Century Gothic" w:cs="Calibri"/>
        </w:rPr>
        <w:t>Al cierre del mes de octubre</w:t>
      </w:r>
      <w:r w:rsidR="00566DA9" w:rsidRPr="003A55A1">
        <w:rPr>
          <w:rFonts w:ascii="Century Gothic" w:hAnsi="Century Gothic" w:cs="Calibri"/>
        </w:rPr>
        <w:t xml:space="preserve"> de 2019, se efectuó la valuación de la cuenta '11120-0006-0000-00000-001</w:t>
      </w:r>
      <w:r w:rsidR="00566DA9" w:rsidRPr="003A55A1">
        <w:t xml:space="preserve"> </w:t>
      </w:r>
      <w:r w:rsidR="00566DA9" w:rsidRPr="003A55A1">
        <w:rPr>
          <w:rFonts w:ascii="Century Gothic" w:hAnsi="Century Gothic" w:cs="Calibri"/>
        </w:rPr>
        <w:t>banco Banorte  dólares 2,408.72 USD y la cuenta 11120-0006-0000-00000-002 banco Banorte dólares complemento moneda nacional , al t</w:t>
      </w:r>
      <w:r w:rsidR="00DA0488" w:rsidRPr="003A55A1">
        <w:rPr>
          <w:rFonts w:ascii="Century Gothic" w:hAnsi="Century Gothic" w:cs="Calibri"/>
        </w:rPr>
        <w:t>ipo de cambio del día 31</w:t>
      </w:r>
      <w:r w:rsidR="00566DA9" w:rsidRPr="003A55A1">
        <w:rPr>
          <w:rFonts w:ascii="Century Gothic" w:hAnsi="Century Gothic" w:cs="Calibri"/>
        </w:rPr>
        <w:t xml:space="preserve"> de</w:t>
      </w:r>
      <w:r w:rsidR="00DA0488" w:rsidRPr="003A55A1">
        <w:rPr>
          <w:rFonts w:ascii="Century Gothic" w:hAnsi="Century Gothic" w:cs="Calibri"/>
        </w:rPr>
        <w:t xml:space="preserve"> octubre</w:t>
      </w:r>
      <w:r w:rsidR="00566DA9" w:rsidRPr="003A55A1">
        <w:rPr>
          <w:rFonts w:ascii="Century Gothic" w:hAnsi="Century Gothic" w:cs="Calibri"/>
        </w:rPr>
        <w:t xml:space="preserve"> de 2019 publicado en el diario oficial de la federación que es de $</w:t>
      </w:r>
      <w:r w:rsidR="00DA0488" w:rsidRPr="003A55A1">
        <w:rPr>
          <w:rFonts w:ascii="Century Gothic" w:hAnsi="Century Gothic" w:cs="Calibri"/>
        </w:rPr>
        <w:t xml:space="preserve">19.1643 </w:t>
      </w:r>
      <w:r w:rsidR="00566DA9" w:rsidRPr="003A55A1">
        <w:rPr>
          <w:rFonts w:ascii="Century Gothic" w:hAnsi="Century Gothic" w:cs="Calibri"/>
        </w:rPr>
        <w:t xml:space="preserve">y que estaban valuadas al tipo de cambio </w:t>
      </w:r>
      <w:r w:rsidR="00DA0488" w:rsidRPr="003A55A1">
        <w:rPr>
          <w:rFonts w:ascii="Century Gothic" w:hAnsi="Century Gothic" w:cs="Calibri"/>
        </w:rPr>
        <w:t>de $19.6808   del día 31 de octubre</w:t>
      </w:r>
      <w:r w:rsidR="00566DA9" w:rsidRPr="003A55A1">
        <w:rPr>
          <w:rFonts w:ascii="Century Gothic" w:hAnsi="Century Gothic" w:cs="Calibri"/>
        </w:rPr>
        <w:t xml:space="preserve"> de 2019</w:t>
      </w:r>
      <w:r w:rsidR="00566DA9" w:rsidRPr="003A55A1">
        <w:rPr>
          <w:rFonts w:ascii="Arial" w:hAnsi="Arial" w:cs="Arial"/>
          <w:bCs/>
        </w:rPr>
        <w:t xml:space="preserve"> </w:t>
      </w:r>
      <w:r w:rsidR="00566DA9" w:rsidRPr="003A55A1">
        <w:rPr>
          <w:rFonts w:ascii="Century Gothic" w:hAnsi="Century Gothic" w:cs="Calibri"/>
        </w:rPr>
        <w:t>que fue cuando se realizó la  valuación al cierre de ese mes generándose una variación cambiaria negativa por la cantidad de $</w:t>
      </w:r>
      <w:r w:rsidR="00DA0488" w:rsidRPr="003A55A1">
        <w:rPr>
          <w:rFonts w:ascii="Century Gothic" w:hAnsi="Century Gothic" w:cs="Calibri"/>
        </w:rPr>
        <w:t>1,244.10</w:t>
      </w:r>
      <w:r w:rsidR="00566DA9" w:rsidRPr="003A55A1">
        <w:rPr>
          <w:rFonts w:ascii="Century Gothic" w:hAnsi="Century Gothic" w:cs="Calibri"/>
        </w:rPr>
        <w:t xml:space="preserve"> misma que se registró de la siguiente manera: cargo a la cuenta 55940-0001-0000-00000-000 Diferencias por tipo de cambio negativas en efectivo y equivalentes por la cantidad de $1</w:t>
      </w:r>
      <w:r w:rsidR="00DA0488" w:rsidRPr="003A55A1">
        <w:rPr>
          <w:rFonts w:ascii="Century Gothic" w:hAnsi="Century Gothic" w:cs="Calibri"/>
        </w:rPr>
        <w:t>,244.10</w:t>
      </w:r>
      <w:r w:rsidR="00566DA9" w:rsidRPr="003A55A1">
        <w:rPr>
          <w:rFonts w:ascii="Century Gothic" w:hAnsi="Century Gothic" w:cs="Calibri"/>
        </w:rPr>
        <w:t xml:space="preserve"> y abono a la cuenta 11120-0006-0000-00000-002 Banco Banorte dólares complemento moneda nacional</w:t>
      </w:r>
      <w:r w:rsidR="00DA0488" w:rsidRPr="003A55A1">
        <w:rPr>
          <w:rFonts w:ascii="Century Gothic" w:hAnsi="Century Gothic" w:cs="Calibri"/>
        </w:rPr>
        <w:t xml:space="preserve"> $1,244.10</w:t>
      </w:r>
    </w:p>
    <w:p w:rsidR="007339EA" w:rsidRPr="003A55A1" w:rsidRDefault="007339EA" w:rsidP="007339EA">
      <w:pPr>
        <w:pStyle w:val="Prrafodelista"/>
        <w:ind w:left="0"/>
        <w:jc w:val="both"/>
        <w:rPr>
          <w:rFonts w:ascii="Century Gothic" w:hAnsi="Century Gothic" w:cs="Calibri"/>
          <w:lang w:val="es-ES"/>
        </w:rPr>
      </w:pPr>
      <w:r w:rsidRPr="003A55A1">
        <w:rPr>
          <w:rFonts w:ascii="Century Gothic" w:hAnsi="Century Gothic"/>
          <w:lang w:eastAsia="es-MX"/>
        </w:rPr>
        <w:t xml:space="preserve">El día 4 </w:t>
      </w:r>
      <w:r w:rsidR="00DA0488" w:rsidRPr="003A55A1">
        <w:rPr>
          <w:rFonts w:ascii="Century Gothic" w:hAnsi="Century Gothic"/>
          <w:lang w:eastAsia="es-MX"/>
        </w:rPr>
        <w:t xml:space="preserve">de octubre </w:t>
      </w:r>
      <w:r w:rsidR="00566DA9" w:rsidRPr="003A55A1">
        <w:rPr>
          <w:rFonts w:ascii="Century Gothic" w:hAnsi="Century Gothic"/>
          <w:lang w:eastAsia="es-MX"/>
        </w:rPr>
        <w:t xml:space="preserve"> de 2019 </w:t>
      </w:r>
      <w:r w:rsidR="00DA0488" w:rsidRPr="003A55A1">
        <w:rPr>
          <w:rFonts w:ascii="Century Gothic" w:hAnsi="Century Gothic" w:cs="Calibri"/>
          <w:lang w:val="es-ES"/>
        </w:rPr>
        <w:t xml:space="preserve">se firmó Convenio de Ajuste y Finiquito  por los daños ocasionados por la inundación a las instalaciones de la Feria por la tormenta  ocurrida el día 05 de Junio del 2019, este siniestro provocó daños a </w:t>
      </w:r>
      <w:r w:rsidR="00DA0488" w:rsidRPr="003A55A1">
        <w:rPr>
          <w:rFonts w:ascii="Century Gothic" w:hAnsi="Century Gothic" w:cs="Calibri"/>
          <w:lang w:val="es-ES"/>
        </w:rPr>
        <w:lastRenderedPageBreak/>
        <w:t>las  instalaciones y sus contenidos, según el detalle, fotos y reporte que se entregaron al despacho de ajustadores Equity Mexicana de Ajustes, S.A. de C.V designado por la Aseguradora Grupo Mexicano de Seguros, S.A. de C.V., determinando una indemnización que asciende a la cantidad de $790,808.31</w:t>
      </w:r>
      <w:r w:rsidR="00AC5423" w:rsidRPr="003A55A1">
        <w:rPr>
          <w:rFonts w:ascii="Century Gothic" w:hAnsi="Century Gothic" w:cs="Calibri"/>
          <w:lang w:val="es-ES"/>
        </w:rPr>
        <w:t xml:space="preserve"> y la Aseguradora nos efectuo</w:t>
      </w:r>
      <w:r w:rsidRPr="003A55A1">
        <w:rPr>
          <w:rFonts w:ascii="Century Gothic" w:hAnsi="Century Gothic" w:cs="Calibri"/>
          <w:lang w:val="es-ES"/>
        </w:rPr>
        <w:t xml:space="preserve"> el deposito a la cuenta de cheques de este Patronato el </w:t>
      </w:r>
      <w:r w:rsidR="00AC5423" w:rsidRPr="003A55A1">
        <w:rPr>
          <w:rFonts w:ascii="Century Gothic" w:hAnsi="Century Gothic" w:cs="Calibri"/>
          <w:lang w:val="es-ES"/>
        </w:rPr>
        <w:t>día</w:t>
      </w:r>
      <w:r w:rsidRPr="003A55A1">
        <w:rPr>
          <w:rFonts w:ascii="Century Gothic" w:hAnsi="Century Gothic" w:cs="Calibri"/>
          <w:lang w:val="es-ES"/>
        </w:rPr>
        <w:t xml:space="preserve"> 25 de octubre de2019.</w:t>
      </w:r>
    </w:p>
    <w:p w:rsidR="007339EA" w:rsidRPr="003A55A1" w:rsidRDefault="007339EA" w:rsidP="007339EA">
      <w:pPr>
        <w:pStyle w:val="Prrafodelista"/>
        <w:ind w:left="0"/>
        <w:jc w:val="both"/>
        <w:rPr>
          <w:rFonts w:ascii="Century Gothic" w:hAnsi="Century Gothic" w:cs="Calibri"/>
          <w:lang w:val="es-ES"/>
        </w:rPr>
      </w:pPr>
      <w:r w:rsidRPr="003A55A1">
        <w:rPr>
          <w:rFonts w:ascii="Century Gothic" w:hAnsi="Century Gothic" w:cs="Calibri"/>
          <w:lang w:val="es-ES"/>
        </w:rPr>
        <w:t>Derivado de lo anterior se amplió el pronóstico de ingresos y presupuesto de egresos por esta cantidad y se canceló la cuenta por cobrar que se había creado previamente para cargar los pagos efectuados de manera urgente con recursos de este Patronato, para reponer bienes y contenidos siniestrados derivado de la inundación ocurrida en las instalaciones de la feria el día  5 de junio de 2019, en tanto la aseguradora Grupo Mexicano de Seguros, S.A. de C.V., nos depositaba la indemnización correspondiente del siniestro</w:t>
      </w:r>
      <w:r w:rsidR="00AC5423" w:rsidRPr="003A55A1">
        <w:rPr>
          <w:rFonts w:ascii="Century Gothic" w:hAnsi="Century Gothic" w:cs="Calibri"/>
          <w:lang w:val="es-ES"/>
        </w:rPr>
        <w:t>, y se reconocieron estos gastos en las partidas presupuestales correspondientes, todo lo anterior autorizado por el Consejo Directivo.</w:t>
      </w:r>
    </w:p>
    <w:p w:rsidR="007339EA" w:rsidRPr="003A55A1" w:rsidRDefault="007339EA" w:rsidP="007339EA">
      <w:pPr>
        <w:pStyle w:val="Prrafodelista"/>
        <w:ind w:left="0"/>
        <w:jc w:val="both"/>
        <w:rPr>
          <w:rFonts w:ascii="Arial" w:hAnsi="Arial" w:cs="Arial"/>
        </w:rPr>
      </w:pPr>
      <w:r w:rsidRPr="003A55A1">
        <w:rPr>
          <w:rFonts w:ascii="Century Gothic" w:hAnsi="Century Gothic" w:cs="Calibri"/>
          <w:lang w:val="es-ES"/>
        </w:rPr>
        <w:t>Los bienes siniestrados serán dados de baja de contabilidad una vez que se autoricen estas bajas por el consejo y por el H ayuntamiento</w:t>
      </w:r>
      <w:r w:rsidRPr="003A55A1">
        <w:rPr>
          <w:rFonts w:ascii="Arial" w:hAnsi="Arial" w:cs="Arial"/>
        </w:rPr>
        <w:t>.</w:t>
      </w:r>
    </w:p>
    <w:p w:rsidR="00AC5423" w:rsidRPr="003A55A1" w:rsidRDefault="00AC5423" w:rsidP="00ED7EF5">
      <w:pPr>
        <w:pStyle w:val="Prrafodelista"/>
        <w:ind w:left="0"/>
        <w:jc w:val="both"/>
        <w:rPr>
          <w:rFonts w:ascii="Century Gothic" w:hAnsi="Century Gothic"/>
          <w:lang w:eastAsia="es-MX"/>
        </w:rPr>
      </w:pPr>
      <w:r w:rsidRPr="003A55A1">
        <w:rPr>
          <w:rFonts w:ascii="Century Gothic" w:hAnsi="Century Gothic"/>
          <w:lang w:eastAsia="es-MX"/>
        </w:rPr>
        <w:t>En el mes de octubre</w:t>
      </w:r>
      <w:r w:rsidR="00566DA9" w:rsidRPr="003A55A1">
        <w:rPr>
          <w:rFonts w:ascii="Century Gothic" w:hAnsi="Century Gothic"/>
          <w:lang w:eastAsia="es-MX"/>
        </w:rPr>
        <w:t xml:space="preserve"> de 2019, </w:t>
      </w:r>
      <w:r w:rsidRPr="003A55A1">
        <w:rPr>
          <w:rFonts w:ascii="Century Gothic" w:hAnsi="Century Gothic"/>
          <w:lang w:eastAsia="es-MX"/>
        </w:rPr>
        <w:t xml:space="preserve">fue autorizado por el Consejo Directivo </w:t>
      </w:r>
      <w:r w:rsidRPr="003A55A1">
        <w:rPr>
          <w:rFonts w:ascii="Century Gothic" w:hAnsi="Century Gothic"/>
          <w:lang w:val="es-ES_tradnl"/>
        </w:rPr>
        <w:t xml:space="preserve"> dar por terminado de manera anticipada el </w:t>
      </w:r>
      <w:r w:rsidRPr="003A55A1">
        <w:rPr>
          <w:rFonts w:ascii="Century Gothic" w:hAnsi="Century Gothic"/>
        </w:rPr>
        <w:t>Convenio de Colaboración y Aportación de Recursos  celebrado con Gobierno del Estado de Guanajuato a través de la Secretaria de Turismo para la realización de acciones en materia de desarrollo turístico  en la construcción de un salón de formación y convivencia en el interior del Parque Explora en las instalaciones del Recinto Ferial de León, por una aportación total por la cantidad de $2,700,000.00  conformada por aportación del Patronato de la Feria Estatal de León y Parque Ecológico por $1,350,000.00 y aportación de la Secretaria de Turismo por $1,350,000.00, debido a que, d</w:t>
      </w:r>
      <w:r w:rsidRPr="003A55A1">
        <w:rPr>
          <w:rFonts w:ascii="Century Gothic" w:hAnsi="Century Gothic"/>
          <w:lang w:eastAsia="es-MX"/>
        </w:rPr>
        <w:t>erivado de lo anterior se disminuyó el pronóstico de ingresos y presupuesto de egresos del ejercicio 2019, por la aportación de la Secretaria de Turismo por $1,350,000.00.</w:t>
      </w:r>
    </w:p>
    <w:p w:rsidR="006F372D" w:rsidRPr="003A55A1" w:rsidRDefault="006F372D" w:rsidP="006F372D">
      <w:pPr>
        <w:jc w:val="both"/>
        <w:rPr>
          <w:rFonts w:ascii="Century Gothic" w:hAnsi="Century Gothic" w:cs="Calibri"/>
        </w:rPr>
      </w:pPr>
      <w:r w:rsidRPr="003A55A1">
        <w:rPr>
          <w:rFonts w:ascii="Century Gothic" w:hAnsi="Century Gothic" w:cs="Calibri"/>
        </w:rPr>
        <w:t>En el Estado de flujos de efectivo del mes de noviembre de 2019 en ACTIVIDADES DE FINANCIAMIENTO en ORIGEN en otros orígenes de financiamiento se agruparon  las variaciones de saldos  de varias cuentas de balance tales como; IVA a favor, subsidio para el empleo, deudores diversos por cobrar a corto plazo, ISR del ejercicio por pagar, otras cuentas por pagar a corto plazo y los anticipos a proveedores por adquisición de bienes y servicios, ya que el formato no trae un rubro en el que se puedan incorporar éstas.</w:t>
      </w:r>
    </w:p>
    <w:p w:rsidR="006F372D" w:rsidRPr="003A55A1" w:rsidRDefault="006F372D" w:rsidP="006F372D">
      <w:pPr>
        <w:jc w:val="both"/>
        <w:rPr>
          <w:rFonts w:ascii="Century Gothic" w:hAnsi="Century Gothic" w:cs="Calibri"/>
        </w:rPr>
      </w:pPr>
      <w:r w:rsidRPr="003A55A1">
        <w:rPr>
          <w:rFonts w:ascii="Century Gothic" w:hAnsi="Century Gothic" w:cs="Calibri"/>
        </w:rPr>
        <w:t>Los otros orígenes de financiamiento por la cantidad de $</w:t>
      </w:r>
      <w:r w:rsidR="00DC69FF" w:rsidRPr="003A55A1">
        <w:rPr>
          <w:rFonts w:ascii="Century Gothic" w:hAnsi="Century Gothic" w:cs="Calibri"/>
        </w:rPr>
        <w:t>8,322,702.08</w:t>
      </w:r>
      <w:r w:rsidRPr="003A55A1">
        <w:t xml:space="preserve">  </w:t>
      </w:r>
      <w:r w:rsidRPr="003A55A1">
        <w:rPr>
          <w:rFonts w:ascii="Century Gothic" w:hAnsi="Century Gothic" w:cs="Calibri"/>
        </w:rPr>
        <w:t xml:space="preserve">se integra de la suma neta de: </w:t>
      </w:r>
    </w:p>
    <w:p w:rsidR="006F372D" w:rsidRPr="003A55A1" w:rsidRDefault="006F372D" w:rsidP="006F372D">
      <w:pPr>
        <w:jc w:val="both"/>
        <w:rPr>
          <w:rFonts w:ascii="Century Gothic" w:hAnsi="Century Gothic" w:cs="Calibri"/>
          <w:sz w:val="16"/>
          <w:szCs w:val="16"/>
        </w:rPr>
      </w:pPr>
      <w:r w:rsidRPr="003A55A1">
        <w:rPr>
          <w:rFonts w:ascii="Century Gothic" w:eastAsia="Times New Roman" w:hAnsi="Century Gothic"/>
          <w:color w:val="000000"/>
          <w:sz w:val="16"/>
          <w:szCs w:val="16"/>
          <w:lang w:val="es-MX" w:eastAsia="es-MX"/>
        </w:rPr>
        <w:t xml:space="preserve"> </w:t>
      </w:r>
      <w:r w:rsidRPr="003A55A1">
        <w:rPr>
          <w:rFonts w:ascii="Cambria" w:eastAsia="Times New Roman" w:hAnsi="Cambria"/>
          <w:color w:val="000000"/>
          <w:sz w:val="16"/>
          <w:szCs w:val="16"/>
          <w:lang w:val="es-MX" w:eastAsia="es-MX"/>
        </w:rPr>
        <w:t xml:space="preserve">Las </w:t>
      </w:r>
      <w:r w:rsidRPr="003A55A1">
        <w:rPr>
          <w:rFonts w:ascii="Century Gothic" w:hAnsi="Century Gothic" w:cs="Calibri"/>
          <w:sz w:val="16"/>
          <w:szCs w:val="16"/>
        </w:rPr>
        <w:t>variaciones (aplicación neta) de saldos de varias cuentas de balance tales como;</w:t>
      </w:r>
      <w:r w:rsidRPr="003A55A1">
        <w:rPr>
          <w:rFonts w:ascii="Century Gothic" w:eastAsia="Times New Roman" w:hAnsi="Century Gothic"/>
          <w:color w:val="000000"/>
          <w:sz w:val="16"/>
          <w:szCs w:val="16"/>
          <w:lang w:val="es-MX" w:eastAsia="es-MX"/>
        </w:rPr>
        <w:t xml:space="preserve"> 113100000000000000000 Anticipo a proveedores por adquisición de bienes y servicios</w:t>
      </w:r>
      <w:r w:rsidRPr="003A55A1">
        <w:rPr>
          <w:rFonts w:ascii="Century Gothic" w:hAnsi="Century Gothic" w:cs="Calibri"/>
          <w:sz w:val="16"/>
          <w:szCs w:val="16"/>
        </w:rPr>
        <w:t xml:space="preserve"> IVA a favor, subsidio para el empleo, deudores diversos por cobrar a corto plazo, ISR del ejercicio por pagar, SAT y otras cuentas por pagar a corto plazo   por importe de  $</w:t>
      </w:r>
      <w:r w:rsidR="00284B68" w:rsidRPr="003A55A1">
        <w:rPr>
          <w:rFonts w:ascii="Century Gothic" w:hAnsi="Century Gothic" w:cs="Calibri"/>
          <w:sz w:val="16"/>
          <w:szCs w:val="16"/>
        </w:rPr>
        <w:t xml:space="preserve">8,319,532.57 </w:t>
      </w:r>
      <w:r w:rsidRPr="003A55A1">
        <w:rPr>
          <w:rFonts w:ascii="Century Gothic" w:hAnsi="Century Gothic" w:cs="Calibri"/>
          <w:sz w:val="16"/>
          <w:szCs w:val="16"/>
        </w:rPr>
        <w:t xml:space="preserve">así como  la cuenta de otros gastos considerada en </w:t>
      </w:r>
      <w:r w:rsidRPr="003A55A1">
        <w:rPr>
          <w:rFonts w:ascii="Century Gothic" w:hAnsi="Century Gothic" w:cs="Calibri"/>
          <w:sz w:val="16"/>
          <w:szCs w:val="16"/>
        </w:rPr>
        <w:lastRenderedPageBreak/>
        <w:t>otras perdidas y gastos extraordinarios  por la cantidad de 41,839.73 y la cuenta de otros ingresos y beneficio</w:t>
      </w:r>
      <w:r w:rsidR="00DC69FF" w:rsidRPr="003A55A1">
        <w:rPr>
          <w:rFonts w:ascii="Century Gothic" w:hAnsi="Century Gothic" w:cs="Calibri"/>
          <w:sz w:val="16"/>
          <w:szCs w:val="16"/>
        </w:rPr>
        <w:t>s por la cantidad de $44,998.32</w:t>
      </w:r>
      <w:r w:rsidRPr="003A55A1">
        <w:rPr>
          <w:rFonts w:ascii="Century Gothic" w:hAnsi="Century Gothic" w:cs="Calibri"/>
          <w:sz w:val="16"/>
          <w:szCs w:val="16"/>
        </w:rPr>
        <w:t xml:space="preserve">  derivadas  de sanciones por entrega administrativa tardía de obra y diferencias por tipo de cambio a favor en la valuación de la cuenta Banorte dólares, además  la cuenta de otros ingresos financieros por la cantidad $ 10.81 derivado del abono de remanente por reclasificación del banco.</w:t>
      </w:r>
    </w:p>
    <w:p w:rsidR="006F372D" w:rsidRPr="003A55A1" w:rsidRDefault="006F372D" w:rsidP="006F372D">
      <w:pPr>
        <w:jc w:val="both"/>
        <w:rPr>
          <w:rFonts w:ascii="Century Gothic" w:hAnsi="Century Gothic"/>
        </w:rPr>
      </w:pPr>
      <w:r w:rsidRPr="003A55A1">
        <w:rPr>
          <w:rFonts w:ascii="Century Gothic" w:hAnsi="Century Gothic" w:cs="Calibri"/>
        </w:rPr>
        <w:t>El estado de flujos de</w:t>
      </w:r>
      <w:r w:rsidR="00284B68" w:rsidRPr="003A55A1">
        <w:rPr>
          <w:rFonts w:ascii="Century Gothic" w:hAnsi="Century Gothic" w:cs="Calibri"/>
        </w:rPr>
        <w:t xml:space="preserve"> efectivo del mes de noviembre</w:t>
      </w:r>
      <w:r w:rsidRPr="003A55A1">
        <w:rPr>
          <w:rFonts w:ascii="Century Gothic" w:hAnsi="Century Gothic" w:cs="Calibri"/>
        </w:rPr>
        <w:t xml:space="preserve"> de 2019 en lo relativo al renglón de bienes muebles no coincide con la nota EFE-02, debido a que en el mencionado estado, no se consideró e</w:t>
      </w:r>
      <w:r w:rsidRPr="003A55A1">
        <w:rPr>
          <w:rFonts w:ascii="Century Gothic" w:hAnsi="Century Gothic"/>
        </w:rPr>
        <w:t>l registro de la donación, de Carnaval Internacional Atracciones Carlón, S.A. de C.V., de dos cuatrimotos por la cantidad de $80,000.00, derivado de la propuesta de beneficios del contrato de arrendamiento de la zona sur para juegos mecánicos en el evento feria 2019, la cual se registró en activo no circulante en bienes muebles y en la cuenta 31200-0006-0000-00000-000 donativos en especie por la cantidad de $80,000.00, no generando flujo de efectivo.</w:t>
      </w:r>
    </w:p>
    <w:p w:rsidR="003F5404" w:rsidRPr="003A55A1" w:rsidRDefault="00284B68" w:rsidP="003F5404">
      <w:pPr>
        <w:spacing w:before="100" w:beforeAutospacing="1" w:after="100" w:afterAutospacing="1" w:line="240" w:lineRule="auto"/>
        <w:jc w:val="both"/>
        <w:rPr>
          <w:rFonts w:ascii="Century Gothic" w:hAnsi="Century Gothic" w:cs="Calibri"/>
        </w:rPr>
      </w:pPr>
      <w:r w:rsidRPr="003A55A1">
        <w:rPr>
          <w:rFonts w:ascii="Century Gothic" w:hAnsi="Century Gothic" w:cs="Calibri"/>
        </w:rPr>
        <w:t>Al cierre del mes de noviembre</w:t>
      </w:r>
      <w:r w:rsidR="006F372D" w:rsidRPr="003A55A1">
        <w:rPr>
          <w:rFonts w:ascii="Century Gothic" w:hAnsi="Century Gothic" w:cs="Calibri"/>
        </w:rPr>
        <w:t xml:space="preserve"> de 2019, se efectuó la valuación de la cuenta '11120-0006-0000-00000-001</w:t>
      </w:r>
      <w:r w:rsidR="006F372D" w:rsidRPr="003A55A1">
        <w:t xml:space="preserve"> </w:t>
      </w:r>
      <w:r w:rsidR="006F372D" w:rsidRPr="003A55A1">
        <w:rPr>
          <w:rFonts w:ascii="Century Gothic" w:hAnsi="Century Gothic" w:cs="Calibri"/>
        </w:rPr>
        <w:t>banco Banorte  dólares 2,408.72 USD y la cuenta 11120-0006-0000-00000-002 banco Banorte dólares complemento moneda nacional , al t</w:t>
      </w:r>
      <w:r w:rsidRPr="003A55A1">
        <w:rPr>
          <w:rFonts w:ascii="Century Gothic" w:hAnsi="Century Gothic" w:cs="Calibri"/>
        </w:rPr>
        <w:t>ipo de cambio del día 30</w:t>
      </w:r>
      <w:r w:rsidR="006F372D" w:rsidRPr="003A55A1">
        <w:rPr>
          <w:rFonts w:ascii="Century Gothic" w:hAnsi="Century Gothic" w:cs="Calibri"/>
        </w:rPr>
        <w:t xml:space="preserve"> de</w:t>
      </w:r>
      <w:r w:rsidRPr="003A55A1">
        <w:rPr>
          <w:rFonts w:ascii="Century Gothic" w:hAnsi="Century Gothic" w:cs="Calibri"/>
        </w:rPr>
        <w:t xml:space="preserve"> noviembre</w:t>
      </w:r>
      <w:r w:rsidR="006F372D" w:rsidRPr="003A55A1">
        <w:rPr>
          <w:rFonts w:ascii="Century Gothic" w:hAnsi="Century Gothic" w:cs="Calibri"/>
        </w:rPr>
        <w:t xml:space="preserve"> de 2019 publicado en el diario oficial de la federación que es de $</w:t>
      </w:r>
      <w:r w:rsidRPr="003A55A1">
        <w:rPr>
          <w:rFonts w:ascii="Century Gothic" w:hAnsi="Century Gothic" w:cs="Calibri"/>
        </w:rPr>
        <w:t>19.6113</w:t>
      </w:r>
      <w:r w:rsidR="006F372D" w:rsidRPr="003A55A1">
        <w:rPr>
          <w:rFonts w:ascii="Century Gothic" w:hAnsi="Century Gothic" w:cs="Calibri"/>
        </w:rPr>
        <w:t xml:space="preserve"> y que estaban valuadas al tipo de cambio </w:t>
      </w:r>
      <w:r w:rsidRPr="003A55A1">
        <w:rPr>
          <w:rFonts w:ascii="Century Gothic" w:hAnsi="Century Gothic" w:cs="Calibri"/>
        </w:rPr>
        <w:t>de $19.1643</w:t>
      </w:r>
      <w:r w:rsidR="006F372D" w:rsidRPr="003A55A1">
        <w:rPr>
          <w:rFonts w:ascii="Century Gothic" w:hAnsi="Century Gothic" w:cs="Calibri"/>
        </w:rPr>
        <w:t xml:space="preserve">   del día 31 de octubre de 2019</w:t>
      </w:r>
      <w:r w:rsidR="006F372D" w:rsidRPr="003A55A1">
        <w:rPr>
          <w:rFonts w:ascii="Arial" w:hAnsi="Arial" w:cs="Arial"/>
          <w:bCs/>
        </w:rPr>
        <w:t xml:space="preserve"> </w:t>
      </w:r>
      <w:r w:rsidR="006F372D" w:rsidRPr="003A55A1">
        <w:rPr>
          <w:rFonts w:ascii="Century Gothic" w:hAnsi="Century Gothic" w:cs="Calibri"/>
        </w:rPr>
        <w:t xml:space="preserve">que fue cuando se realizó la  valuación al cierre de ese mes generándose </w:t>
      </w:r>
      <w:r w:rsidRPr="003A55A1">
        <w:rPr>
          <w:rFonts w:ascii="Century Gothic" w:hAnsi="Century Gothic" w:cs="Calibri"/>
        </w:rPr>
        <w:t>una variación cambiaria positiva</w:t>
      </w:r>
      <w:r w:rsidR="006F372D" w:rsidRPr="003A55A1">
        <w:rPr>
          <w:rFonts w:ascii="Century Gothic" w:hAnsi="Century Gothic" w:cs="Calibri"/>
        </w:rPr>
        <w:t xml:space="preserve"> por la cantidad de $</w:t>
      </w:r>
      <w:r w:rsidRPr="003A55A1">
        <w:rPr>
          <w:rFonts w:ascii="Century Gothic" w:hAnsi="Century Gothic" w:cs="Calibri"/>
        </w:rPr>
        <w:t>1,076.70</w:t>
      </w:r>
      <w:r w:rsidR="006F372D" w:rsidRPr="003A55A1">
        <w:rPr>
          <w:rFonts w:ascii="Century Gothic" w:hAnsi="Century Gothic" w:cs="Calibri"/>
        </w:rPr>
        <w:t xml:space="preserve"> misma que se registró de la siguiente manera:</w:t>
      </w:r>
      <w:r w:rsidR="003F5404" w:rsidRPr="003A55A1">
        <w:rPr>
          <w:rFonts w:ascii="Century Gothic" w:hAnsi="Century Gothic" w:cs="Calibri"/>
        </w:rPr>
        <w:t xml:space="preserve"> cargo a la cuenta 11120-0006-0000-00000-002 Banco Banorte dólares complemento moneda nacional $1,076.70 y abono a la cuenta 43930-0001-0000-00000-000 diferencias por tipo de cambio a favor en efectivo por la cantidad de $1,076.70.</w:t>
      </w:r>
    </w:p>
    <w:p w:rsidR="003F5404" w:rsidRPr="003A55A1" w:rsidRDefault="003F5404" w:rsidP="003F5404">
      <w:pPr>
        <w:spacing w:before="100" w:beforeAutospacing="1" w:after="100" w:afterAutospacing="1" w:line="240" w:lineRule="auto"/>
        <w:jc w:val="both"/>
        <w:rPr>
          <w:rFonts w:ascii="Century Gothic" w:hAnsi="Century Gothic"/>
          <w:lang w:val="es-MX" w:eastAsia="es-MX"/>
        </w:rPr>
      </w:pPr>
      <w:r w:rsidRPr="003A55A1">
        <w:rPr>
          <w:rFonts w:ascii="Century Gothic" w:hAnsi="Century Gothic"/>
          <w:lang w:val="es-MX" w:eastAsia="es-MX"/>
        </w:rPr>
        <w:t>En el mes de noviembre de 2019, para  tener  disponible para  efectos presupuestales el ingreso por  recaudar proveniente de los   remanentes  de  ejercicios anteriores</w:t>
      </w:r>
      <w:r w:rsidRPr="003A55A1">
        <w:rPr>
          <w:rFonts w:ascii="Century Gothic" w:hAnsi="Century Gothic" w:cs="Calibri"/>
        </w:rPr>
        <w:t xml:space="preserve"> se cargó a la cuenta 32200-0010-0000-00000-000 aplicación de remanente presupuestal ejercicio 2016 por la cantidad de $1,355,815.42 </w:t>
      </w:r>
      <w:r w:rsidRPr="003A55A1">
        <w:rPr>
          <w:rFonts w:ascii="Century Gothic" w:hAnsi="Century Gothic"/>
          <w:lang w:val="es-MX" w:eastAsia="es-MX"/>
        </w:rPr>
        <w:t xml:space="preserve">y se abonó a  la  cuenta </w:t>
      </w:r>
      <w:r w:rsidRPr="003A55A1">
        <w:rPr>
          <w:rFonts w:ascii="Century Gothic" w:hAnsi="Century Gothic" w:cs="Calibri"/>
        </w:rPr>
        <w:t xml:space="preserve">32200-0301-1700-00007-003 aplicación de remanente presupuestal 2016 la cantidad de $1,355,815.42. </w:t>
      </w:r>
      <w:r w:rsidRPr="003A55A1">
        <w:rPr>
          <w:rFonts w:ascii="Century Gothic" w:hAnsi="Century Gothic"/>
          <w:lang w:val="es-MX" w:eastAsia="es-MX"/>
        </w:rPr>
        <w:t>El  neto de  las afectaciones  contables  mencionadas  a  nivel  cuenta  de  mayor  es $0.00.</w:t>
      </w:r>
    </w:p>
    <w:p w:rsidR="00E74EE0" w:rsidRPr="003A55A1" w:rsidRDefault="00E74EE0" w:rsidP="00E74EE0">
      <w:pPr>
        <w:jc w:val="both"/>
        <w:rPr>
          <w:rFonts w:ascii="Century Gothic" w:hAnsi="Century Gothic" w:cs="Calibri"/>
        </w:rPr>
      </w:pPr>
      <w:r w:rsidRPr="003A55A1">
        <w:rPr>
          <w:rFonts w:ascii="Century Gothic" w:hAnsi="Century Gothic" w:cs="Calibri"/>
        </w:rPr>
        <w:t>En el Estado de flujos de efectivo del mes de diciembre de 2019 en ACTIVIDADES DE FINANCIAMIENTO en ORIGEN en otros orígenes de financiamiento se agruparon  las variaciones de saldos  de varias cuentas de balance tales como; IVA a favor, subsidio para el empleo, deudores diversos por cobrar a corto plazo, ISR del ejercicio por pagar, otras cuentas por pagar a corto plazo y los anticipos a proveedores por adquisición de bienes y servicios, ya que el formato no trae un rubro en el que se puedan incorporar éstas.</w:t>
      </w:r>
    </w:p>
    <w:p w:rsidR="00E74EE0" w:rsidRPr="003A55A1" w:rsidRDefault="00E74EE0" w:rsidP="00E74EE0">
      <w:pPr>
        <w:jc w:val="both"/>
        <w:rPr>
          <w:rFonts w:ascii="Century Gothic" w:hAnsi="Century Gothic" w:cs="Calibri"/>
        </w:rPr>
      </w:pPr>
      <w:r w:rsidRPr="003A55A1">
        <w:rPr>
          <w:rFonts w:ascii="Century Gothic" w:hAnsi="Century Gothic" w:cs="Calibri"/>
        </w:rPr>
        <w:t xml:space="preserve">Los otros orígenes de financiamiento por la cantidad de $410,987.21se integra de la suma neta de: </w:t>
      </w:r>
    </w:p>
    <w:p w:rsidR="00E74EE0" w:rsidRPr="003A55A1" w:rsidRDefault="00E74EE0" w:rsidP="00E74EE0">
      <w:pPr>
        <w:jc w:val="both"/>
        <w:rPr>
          <w:rFonts w:ascii="Century Gothic" w:hAnsi="Century Gothic" w:cs="Calibri"/>
          <w:sz w:val="16"/>
          <w:szCs w:val="16"/>
        </w:rPr>
      </w:pPr>
      <w:r w:rsidRPr="003A55A1">
        <w:rPr>
          <w:rFonts w:ascii="Century Gothic" w:eastAsia="Times New Roman" w:hAnsi="Century Gothic"/>
          <w:color w:val="000000"/>
          <w:sz w:val="16"/>
          <w:szCs w:val="16"/>
          <w:lang w:val="es-MX" w:eastAsia="es-MX"/>
        </w:rPr>
        <w:t xml:space="preserve"> </w:t>
      </w:r>
      <w:r w:rsidRPr="003A55A1">
        <w:rPr>
          <w:rFonts w:ascii="Cambria" w:eastAsia="Times New Roman" w:hAnsi="Cambria"/>
          <w:color w:val="000000"/>
          <w:sz w:val="16"/>
          <w:szCs w:val="16"/>
          <w:lang w:val="es-MX" w:eastAsia="es-MX"/>
        </w:rPr>
        <w:t xml:space="preserve">Las </w:t>
      </w:r>
      <w:r w:rsidRPr="003A55A1">
        <w:rPr>
          <w:rFonts w:ascii="Century Gothic" w:hAnsi="Century Gothic" w:cs="Calibri"/>
          <w:sz w:val="16"/>
          <w:szCs w:val="16"/>
        </w:rPr>
        <w:t>variaciones (aplicación neta) de saldos de varias cuentas de balance tales como;</w:t>
      </w:r>
      <w:r w:rsidRPr="003A55A1">
        <w:rPr>
          <w:rFonts w:ascii="Century Gothic" w:eastAsia="Times New Roman" w:hAnsi="Century Gothic"/>
          <w:color w:val="000000"/>
          <w:sz w:val="16"/>
          <w:szCs w:val="16"/>
          <w:lang w:val="es-MX" w:eastAsia="es-MX"/>
        </w:rPr>
        <w:t xml:space="preserve"> 113100000000000000000 Anticipo a proveedores por adquisición de bienes y servicios</w:t>
      </w:r>
      <w:r w:rsidRPr="003A55A1">
        <w:rPr>
          <w:rFonts w:ascii="Century Gothic" w:hAnsi="Century Gothic" w:cs="Calibri"/>
          <w:sz w:val="16"/>
          <w:szCs w:val="16"/>
        </w:rPr>
        <w:t xml:space="preserve"> IVA a favor, subsidio para el empleo, deudores diversos por cobrar a corto plazo, ISR del ejercicio por pagar, SAT y otras cuentas </w:t>
      </w:r>
      <w:r w:rsidRPr="003A55A1">
        <w:rPr>
          <w:rFonts w:ascii="Century Gothic" w:hAnsi="Century Gothic" w:cs="Calibri"/>
          <w:sz w:val="16"/>
          <w:szCs w:val="16"/>
        </w:rPr>
        <w:lastRenderedPageBreak/>
        <w:t>por pagar a corto plazo   por importe de  $409,596.89 así como  la cuenta de otros gastos considerada en otras perdidas y gastos extraordinarios  por la cantidad de 43,618.81 y la cuenta de otros ingresos y beneficios por la cantidad de $44,998.32  derivadas  de sanciones por entrega administrativa tardía de obra y diferencias por tipo de cambio a favor en la valuación de la cuenta Banorte dólares, además  la cuenta de otros ingresos financieros por la cantidad $ 10.81 derivado del abono de remanente por reclasificación del banco.</w:t>
      </w:r>
    </w:p>
    <w:p w:rsidR="00E74EE0" w:rsidRPr="003A55A1" w:rsidRDefault="00E74EE0" w:rsidP="00E74EE0">
      <w:pPr>
        <w:jc w:val="both"/>
        <w:rPr>
          <w:rFonts w:ascii="Century Gothic" w:hAnsi="Century Gothic"/>
        </w:rPr>
      </w:pPr>
      <w:r w:rsidRPr="003A55A1">
        <w:rPr>
          <w:rFonts w:ascii="Century Gothic" w:hAnsi="Century Gothic" w:cs="Calibri"/>
        </w:rPr>
        <w:t>El estado de flujos de efectivo del mes de diciembre de 2019 en lo relativo al renglón de bienes muebles no coincide con la nota EFE-02, debido a que en el mencionado estado, no se consideró e</w:t>
      </w:r>
      <w:r w:rsidRPr="003A55A1">
        <w:rPr>
          <w:rFonts w:ascii="Century Gothic" w:hAnsi="Century Gothic"/>
        </w:rPr>
        <w:t xml:space="preserve">l registro de la donación, de Carnaval Internacional Atracciones Carlón, S.A. de C.V., de dos </w:t>
      </w:r>
      <w:r w:rsidR="0077750B" w:rsidRPr="003A55A1">
        <w:rPr>
          <w:rFonts w:ascii="Century Gothic" w:hAnsi="Century Gothic"/>
        </w:rPr>
        <w:t>cuatrimotos</w:t>
      </w:r>
      <w:r w:rsidRPr="003A55A1">
        <w:rPr>
          <w:rFonts w:ascii="Century Gothic" w:hAnsi="Century Gothic"/>
        </w:rPr>
        <w:t xml:space="preserve"> por la cantidad de $80,000.00, derivado de la propuesta de beneficios del contrato de arrendamiento de la zona sur para juegos mecánicos en el evento feria 2019, la cual se registró en activo no circulante en bienes muebles y en la cuenta 31200-0006-0000-00000-000 donativos en especie por la cantidad de $80,000.00, no generando flujo de efectivo.</w:t>
      </w:r>
    </w:p>
    <w:p w:rsidR="00E00530" w:rsidRPr="003A55A1" w:rsidRDefault="00317795" w:rsidP="00E00530">
      <w:pPr>
        <w:spacing w:before="100" w:beforeAutospacing="1" w:after="100" w:afterAutospacing="1" w:line="240" w:lineRule="auto"/>
        <w:jc w:val="both"/>
        <w:rPr>
          <w:rFonts w:ascii="Century Gothic" w:hAnsi="Century Gothic" w:cs="Calibri"/>
        </w:rPr>
      </w:pPr>
      <w:r w:rsidRPr="003A55A1">
        <w:rPr>
          <w:rFonts w:ascii="Century Gothic" w:hAnsi="Century Gothic" w:cs="Calibri"/>
        </w:rPr>
        <w:t>Al cierre del mes de diciembre</w:t>
      </w:r>
      <w:r w:rsidR="00E74EE0" w:rsidRPr="003A55A1">
        <w:rPr>
          <w:rFonts w:ascii="Century Gothic" w:hAnsi="Century Gothic" w:cs="Calibri"/>
        </w:rPr>
        <w:t xml:space="preserve"> de 2019, se efectuó la valuación de la cuenta '11120-0006-0000-00000-001</w:t>
      </w:r>
      <w:r w:rsidR="00E74EE0" w:rsidRPr="003A55A1">
        <w:t xml:space="preserve"> </w:t>
      </w:r>
      <w:r w:rsidR="00E74EE0" w:rsidRPr="003A55A1">
        <w:rPr>
          <w:rFonts w:ascii="Century Gothic" w:hAnsi="Century Gothic" w:cs="Calibri"/>
        </w:rPr>
        <w:t>banco Banorte  dólares 2,408.72 USD y la cuenta 11120-0006-0000-00000-002 banco Banorte dólares complemento moneda nacional , al tipo de cambio del día 31 de diciembre de 2019 publicado en el diario oficial de la federación que es de $</w:t>
      </w:r>
      <w:r w:rsidR="00E00530" w:rsidRPr="003A55A1">
        <w:rPr>
          <w:rFonts w:ascii="Century Gothic" w:hAnsi="Century Gothic" w:cs="Calibri"/>
        </w:rPr>
        <w:t>18.8727</w:t>
      </w:r>
      <w:r w:rsidR="00E74EE0" w:rsidRPr="003A55A1">
        <w:rPr>
          <w:rFonts w:ascii="Century Gothic" w:hAnsi="Century Gothic" w:cs="Calibri"/>
        </w:rPr>
        <w:t xml:space="preserve"> y que estaban valuadas al tipo de cambio </w:t>
      </w:r>
      <w:r w:rsidR="00E00530" w:rsidRPr="003A55A1">
        <w:rPr>
          <w:rFonts w:ascii="Century Gothic" w:hAnsi="Century Gothic" w:cs="Calibri"/>
        </w:rPr>
        <w:t>de $19.6113 del día 29 de noviembre</w:t>
      </w:r>
      <w:r w:rsidR="00E74EE0" w:rsidRPr="003A55A1">
        <w:rPr>
          <w:rFonts w:ascii="Century Gothic" w:hAnsi="Century Gothic" w:cs="Calibri"/>
        </w:rPr>
        <w:t xml:space="preserve"> de 2019</w:t>
      </w:r>
      <w:r w:rsidR="00E74EE0" w:rsidRPr="003A55A1">
        <w:rPr>
          <w:rFonts w:ascii="Arial" w:hAnsi="Arial" w:cs="Arial"/>
          <w:bCs/>
        </w:rPr>
        <w:t xml:space="preserve"> </w:t>
      </w:r>
      <w:r w:rsidR="00E74EE0" w:rsidRPr="003A55A1">
        <w:rPr>
          <w:rFonts w:ascii="Century Gothic" w:hAnsi="Century Gothic" w:cs="Calibri"/>
        </w:rPr>
        <w:t xml:space="preserve">que fue cuando se realizó la  valuación al cierre de ese mes generándose </w:t>
      </w:r>
      <w:r w:rsidR="00E00530" w:rsidRPr="003A55A1">
        <w:rPr>
          <w:rFonts w:ascii="Century Gothic" w:hAnsi="Century Gothic" w:cs="Calibri"/>
        </w:rPr>
        <w:t>una variación cambiaria negativa</w:t>
      </w:r>
      <w:r w:rsidR="00E74EE0" w:rsidRPr="003A55A1">
        <w:rPr>
          <w:rFonts w:ascii="Century Gothic" w:hAnsi="Century Gothic" w:cs="Calibri"/>
        </w:rPr>
        <w:t xml:space="preserve"> por la cantidad de $</w:t>
      </w:r>
      <w:r w:rsidR="00E00530" w:rsidRPr="003A55A1">
        <w:rPr>
          <w:rFonts w:ascii="Century Gothic" w:hAnsi="Century Gothic" w:cs="Calibri"/>
        </w:rPr>
        <w:t>1,779.08</w:t>
      </w:r>
      <w:r w:rsidR="00E74EE0" w:rsidRPr="003A55A1">
        <w:rPr>
          <w:rFonts w:ascii="Century Gothic" w:hAnsi="Century Gothic" w:cs="Calibri"/>
        </w:rPr>
        <w:t xml:space="preserve"> misma que se registró de la siguiente manera: </w:t>
      </w:r>
      <w:r w:rsidR="00E00530" w:rsidRPr="003A55A1">
        <w:rPr>
          <w:rFonts w:ascii="Century Gothic" w:hAnsi="Century Gothic" w:cs="Calibri"/>
        </w:rPr>
        <w:t>cargo a la cuenta 55940-0001-0000-00000-000 Diferencias por tipo de cambio negativas en efectivo y equivalentes por la cantidad de $1,779.08 y abono a la cuenta 11120-0006-0000-00000-002 Banco Banorte dólares complemento moneda nacional $1,779.08</w:t>
      </w:r>
    </w:p>
    <w:p w:rsidR="00E74EE0" w:rsidRPr="003A55A1" w:rsidRDefault="00317795" w:rsidP="00E74EE0">
      <w:pPr>
        <w:spacing w:before="100" w:beforeAutospacing="1" w:after="100" w:afterAutospacing="1" w:line="240" w:lineRule="auto"/>
        <w:jc w:val="both"/>
        <w:rPr>
          <w:rFonts w:ascii="Century Gothic" w:hAnsi="Century Gothic"/>
          <w:lang w:val="es-MX" w:eastAsia="es-MX"/>
        </w:rPr>
      </w:pPr>
      <w:r w:rsidRPr="003A55A1">
        <w:rPr>
          <w:rFonts w:ascii="Century Gothic" w:hAnsi="Century Gothic"/>
          <w:lang w:val="es-MX" w:eastAsia="es-MX"/>
        </w:rPr>
        <w:t xml:space="preserve">En el mes de diciembre </w:t>
      </w:r>
      <w:r w:rsidR="00E74EE0" w:rsidRPr="003A55A1">
        <w:rPr>
          <w:rFonts w:ascii="Century Gothic" w:hAnsi="Century Gothic"/>
          <w:lang w:val="es-MX" w:eastAsia="es-MX"/>
        </w:rPr>
        <w:t xml:space="preserve"> de 2019, para  tener  disponible para  efectos presupuestales el ingreso por  recaudar proveniente de los   remanentes  de  ejercicios anteriores</w:t>
      </w:r>
      <w:r w:rsidR="00E74EE0" w:rsidRPr="003A55A1">
        <w:rPr>
          <w:rFonts w:ascii="Century Gothic" w:hAnsi="Century Gothic" w:cs="Calibri"/>
        </w:rPr>
        <w:t xml:space="preserve"> se cargó a la cuenta 32200-0010-0000-00000-000 aplicación de remanente presupuestal ejercicio 2016 </w:t>
      </w:r>
      <w:r w:rsidR="0077750B" w:rsidRPr="003A55A1">
        <w:rPr>
          <w:rFonts w:ascii="Century Gothic" w:hAnsi="Century Gothic" w:cs="Calibri"/>
        </w:rPr>
        <w:t>por la cantidad de $3,160,819.33</w:t>
      </w:r>
      <w:r w:rsidR="00E74EE0" w:rsidRPr="003A55A1">
        <w:rPr>
          <w:rFonts w:ascii="Century Gothic" w:hAnsi="Century Gothic" w:cs="Calibri"/>
        </w:rPr>
        <w:t xml:space="preserve"> </w:t>
      </w:r>
      <w:r w:rsidR="00E74EE0" w:rsidRPr="003A55A1">
        <w:rPr>
          <w:rFonts w:ascii="Century Gothic" w:hAnsi="Century Gothic"/>
          <w:lang w:val="es-MX" w:eastAsia="es-MX"/>
        </w:rPr>
        <w:t xml:space="preserve">y se abonó a  la  cuenta </w:t>
      </w:r>
      <w:r w:rsidR="00E74EE0" w:rsidRPr="003A55A1">
        <w:rPr>
          <w:rFonts w:ascii="Century Gothic" w:hAnsi="Century Gothic" w:cs="Calibri"/>
        </w:rPr>
        <w:t>32200-0301-1700-00007-003 aplicación de remanente presupuestal 2</w:t>
      </w:r>
      <w:r w:rsidR="0077750B" w:rsidRPr="003A55A1">
        <w:rPr>
          <w:rFonts w:ascii="Century Gothic" w:hAnsi="Century Gothic" w:cs="Calibri"/>
        </w:rPr>
        <w:t>016 la cantidad de $3,160,819.33</w:t>
      </w:r>
      <w:r w:rsidR="00E74EE0" w:rsidRPr="003A55A1">
        <w:rPr>
          <w:rFonts w:ascii="Century Gothic" w:hAnsi="Century Gothic" w:cs="Calibri"/>
        </w:rPr>
        <w:t xml:space="preserve">. </w:t>
      </w:r>
      <w:r w:rsidR="00E74EE0" w:rsidRPr="003A55A1">
        <w:rPr>
          <w:rFonts w:ascii="Century Gothic" w:hAnsi="Century Gothic"/>
          <w:lang w:val="es-MX" w:eastAsia="es-MX"/>
        </w:rPr>
        <w:t>El  neto de  las afectaciones  contables  mencionadas  a  nivel  cuenta  de  mayor  es $0.00.</w:t>
      </w:r>
    </w:p>
    <w:p w:rsidR="006F48A8" w:rsidRPr="003A55A1" w:rsidRDefault="006F48A8" w:rsidP="00E74EE0">
      <w:pPr>
        <w:spacing w:before="100" w:beforeAutospacing="1" w:after="100" w:afterAutospacing="1" w:line="240" w:lineRule="auto"/>
        <w:jc w:val="both"/>
        <w:rPr>
          <w:rFonts w:ascii="Century Gothic" w:hAnsi="Century Gothic"/>
          <w:lang w:val="es-MX" w:eastAsia="es-MX"/>
        </w:rPr>
      </w:pPr>
      <w:r w:rsidRPr="003A55A1">
        <w:rPr>
          <w:rFonts w:ascii="Century Gothic" w:hAnsi="Century Gothic"/>
          <w:lang w:val="es-MX" w:eastAsia="es-MX"/>
        </w:rPr>
        <w:t xml:space="preserve">En el mes de diciembre de 2019, se liberaron saldos comprometidos de varios contratos de obra y de servicios por la cantidad total de $1,686,894.94, registrándose en cuentas de orden contables para reconocer el adeudo en el ejercicio 2020 y cumplir con los compromisos de pago respectivos. </w:t>
      </w:r>
    </w:p>
    <w:p w:rsidR="00E74EE0" w:rsidRPr="003A55A1" w:rsidRDefault="00E74EE0" w:rsidP="003F5404">
      <w:pPr>
        <w:spacing w:before="100" w:beforeAutospacing="1" w:after="100" w:afterAutospacing="1" w:line="240" w:lineRule="auto"/>
        <w:jc w:val="both"/>
        <w:rPr>
          <w:rFonts w:ascii="Century Gothic" w:hAnsi="Century Gothic"/>
          <w:lang w:val="es-MX" w:eastAsia="es-MX"/>
        </w:rPr>
      </w:pPr>
    </w:p>
    <w:p w:rsidR="00183CA6" w:rsidRDefault="00183CA6" w:rsidP="00183CA6">
      <w:pPr>
        <w:jc w:val="both"/>
        <w:rPr>
          <w:rFonts w:ascii="Century Gothic" w:hAnsi="Century Gothic" w:cs="Calibri"/>
        </w:rPr>
      </w:pPr>
      <w:r w:rsidRPr="003A55A1">
        <w:rPr>
          <w:rFonts w:ascii="Century Gothic" w:hAnsi="Century Gothic" w:cs="Calibri"/>
        </w:rPr>
        <w:t>Bajo protesta de decir verdad declaramos que los estados financieros y sus notas son razonablemente correctos y son responsabilidad del emisor”</w:t>
      </w:r>
    </w:p>
    <w:sectPr w:rsidR="00183CA6" w:rsidSect="00497CE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09F3" w:rsidRDefault="003E09F3">
      <w:pPr>
        <w:spacing w:after="0" w:line="240" w:lineRule="auto"/>
      </w:pPr>
      <w:r>
        <w:separator/>
      </w:r>
    </w:p>
  </w:endnote>
  <w:endnote w:type="continuationSeparator" w:id="0">
    <w:p w:rsidR="003E09F3" w:rsidRDefault="003E0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09F3" w:rsidRDefault="003E09F3">
      <w:pPr>
        <w:spacing w:after="0" w:line="240" w:lineRule="auto"/>
      </w:pPr>
      <w:r>
        <w:separator/>
      </w:r>
    </w:p>
  </w:footnote>
  <w:footnote w:type="continuationSeparator" w:id="0">
    <w:p w:rsidR="003E09F3" w:rsidRDefault="003E09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B4027"/>
    <w:multiLevelType w:val="hybridMultilevel"/>
    <w:tmpl w:val="0D78132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nsid w:val="0AE51FCB"/>
    <w:multiLevelType w:val="hybridMultilevel"/>
    <w:tmpl w:val="7EA87D2E"/>
    <w:lvl w:ilvl="0" w:tplc="C9B60066">
      <w:start w:val="1"/>
      <w:numFmt w:val="lowerLetter"/>
      <w:lvlText w:val="%1)"/>
      <w:lvlJc w:val="left"/>
      <w:pPr>
        <w:ind w:left="720" w:hanging="36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71348A5"/>
    <w:multiLevelType w:val="multilevel"/>
    <w:tmpl w:val="457625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8C10DC"/>
    <w:multiLevelType w:val="hybridMultilevel"/>
    <w:tmpl w:val="1A406590"/>
    <w:lvl w:ilvl="0" w:tplc="79A65E5A">
      <w:start w:val="5"/>
      <w:numFmt w:val="bullet"/>
      <w:lvlText w:val="-"/>
      <w:lvlJc w:val="left"/>
      <w:pPr>
        <w:ind w:left="720" w:hanging="360"/>
      </w:pPr>
      <w:rPr>
        <w:rFonts w:ascii="Century Gothic" w:eastAsia="Calibri"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52A4A5A"/>
    <w:multiLevelType w:val="hybridMultilevel"/>
    <w:tmpl w:val="C164B27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69552736"/>
    <w:multiLevelType w:val="hybridMultilevel"/>
    <w:tmpl w:val="F370C35A"/>
    <w:lvl w:ilvl="0" w:tplc="087A6BE0">
      <w:numFmt w:val="bullet"/>
      <w:lvlText w:val="-"/>
      <w:lvlJc w:val="left"/>
      <w:pPr>
        <w:ind w:left="1068" w:hanging="360"/>
      </w:pPr>
      <w:rPr>
        <w:rFonts w:ascii="Century Gothic" w:eastAsia="Calibri" w:hAnsi="Century Gothic" w:cs="Times New Roman"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
    <w:nsid w:val="73DE6B58"/>
    <w:multiLevelType w:val="hybridMultilevel"/>
    <w:tmpl w:val="7EA87D2E"/>
    <w:lvl w:ilvl="0" w:tplc="C9B60066">
      <w:start w:val="1"/>
      <w:numFmt w:val="lowerLetter"/>
      <w:lvlText w:val="%1)"/>
      <w:lvlJc w:val="left"/>
      <w:pPr>
        <w:ind w:left="720" w:hanging="36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DC8"/>
    <w:rsid w:val="00004971"/>
    <w:rsid w:val="0001054F"/>
    <w:rsid w:val="000201FC"/>
    <w:rsid w:val="00022EF2"/>
    <w:rsid w:val="00026A02"/>
    <w:rsid w:val="00030B58"/>
    <w:rsid w:val="0003305C"/>
    <w:rsid w:val="00033475"/>
    <w:rsid w:val="000339F6"/>
    <w:rsid w:val="000367F6"/>
    <w:rsid w:val="0004034A"/>
    <w:rsid w:val="00040862"/>
    <w:rsid w:val="000449E0"/>
    <w:rsid w:val="000517B4"/>
    <w:rsid w:val="000534FC"/>
    <w:rsid w:val="000552F8"/>
    <w:rsid w:val="00061311"/>
    <w:rsid w:val="0006199C"/>
    <w:rsid w:val="00066A81"/>
    <w:rsid w:val="00067981"/>
    <w:rsid w:val="00070FFD"/>
    <w:rsid w:val="00071A30"/>
    <w:rsid w:val="00074B97"/>
    <w:rsid w:val="0007568E"/>
    <w:rsid w:val="000758AF"/>
    <w:rsid w:val="000815D5"/>
    <w:rsid w:val="0008343E"/>
    <w:rsid w:val="0008359C"/>
    <w:rsid w:val="00084658"/>
    <w:rsid w:val="0008593B"/>
    <w:rsid w:val="00086352"/>
    <w:rsid w:val="000877FC"/>
    <w:rsid w:val="00093F33"/>
    <w:rsid w:val="00096269"/>
    <w:rsid w:val="000A5B63"/>
    <w:rsid w:val="000B4715"/>
    <w:rsid w:val="000C16BD"/>
    <w:rsid w:val="000C5561"/>
    <w:rsid w:val="000C638F"/>
    <w:rsid w:val="000C6C9F"/>
    <w:rsid w:val="000D1F24"/>
    <w:rsid w:val="000D6084"/>
    <w:rsid w:val="000E19DE"/>
    <w:rsid w:val="000E37C2"/>
    <w:rsid w:val="000E7490"/>
    <w:rsid w:val="000F6E50"/>
    <w:rsid w:val="00101BD2"/>
    <w:rsid w:val="00103575"/>
    <w:rsid w:val="00107A31"/>
    <w:rsid w:val="00107F61"/>
    <w:rsid w:val="0011204F"/>
    <w:rsid w:val="00115148"/>
    <w:rsid w:val="00115C23"/>
    <w:rsid w:val="00115C9C"/>
    <w:rsid w:val="00116DFD"/>
    <w:rsid w:val="001233AD"/>
    <w:rsid w:val="0012574B"/>
    <w:rsid w:val="00125AF4"/>
    <w:rsid w:val="0012705A"/>
    <w:rsid w:val="00130292"/>
    <w:rsid w:val="00131A69"/>
    <w:rsid w:val="0013216B"/>
    <w:rsid w:val="001328CF"/>
    <w:rsid w:val="00135374"/>
    <w:rsid w:val="00137864"/>
    <w:rsid w:val="001417AD"/>
    <w:rsid w:val="00143F80"/>
    <w:rsid w:val="00146171"/>
    <w:rsid w:val="001469BB"/>
    <w:rsid w:val="00147306"/>
    <w:rsid w:val="001475D4"/>
    <w:rsid w:val="001502AD"/>
    <w:rsid w:val="00152C6F"/>
    <w:rsid w:val="001548D2"/>
    <w:rsid w:val="001554BD"/>
    <w:rsid w:val="00155500"/>
    <w:rsid w:val="00155B6C"/>
    <w:rsid w:val="0016252F"/>
    <w:rsid w:val="001649A3"/>
    <w:rsid w:val="00164EC8"/>
    <w:rsid w:val="0017066E"/>
    <w:rsid w:val="00170CDA"/>
    <w:rsid w:val="00173AC8"/>
    <w:rsid w:val="00173C06"/>
    <w:rsid w:val="001740C2"/>
    <w:rsid w:val="00174446"/>
    <w:rsid w:val="00174EA9"/>
    <w:rsid w:val="00180314"/>
    <w:rsid w:val="00181266"/>
    <w:rsid w:val="00181F79"/>
    <w:rsid w:val="00183CA6"/>
    <w:rsid w:val="00185BC1"/>
    <w:rsid w:val="00186659"/>
    <w:rsid w:val="00190994"/>
    <w:rsid w:val="00190C9D"/>
    <w:rsid w:val="001914F5"/>
    <w:rsid w:val="00192B3D"/>
    <w:rsid w:val="00195890"/>
    <w:rsid w:val="00195DD1"/>
    <w:rsid w:val="00196AB8"/>
    <w:rsid w:val="001A1BE0"/>
    <w:rsid w:val="001A3E5E"/>
    <w:rsid w:val="001A3F5A"/>
    <w:rsid w:val="001A5A8D"/>
    <w:rsid w:val="001A659D"/>
    <w:rsid w:val="001B217E"/>
    <w:rsid w:val="001B594C"/>
    <w:rsid w:val="001B7B93"/>
    <w:rsid w:val="001C0008"/>
    <w:rsid w:val="001D0B97"/>
    <w:rsid w:val="001D257A"/>
    <w:rsid w:val="001D274E"/>
    <w:rsid w:val="001D5104"/>
    <w:rsid w:val="001E1CD3"/>
    <w:rsid w:val="001E2876"/>
    <w:rsid w:val="001E2CE8"/>
    <w:rsid w:val="001E3542"/>
    <w:rsid w:val="001E590E"/>
    <w:rsid w:val="001F07AF"/>
    <w:rsid w:val="001F1812"/>
    <w:rsid w:val="001F2D5D"/>
    <w:rsid w:val="001F3350"/>
    <w:rsid w:val="001F46A3"/>
    <w:rsid w:val="001F4855"/>
    <w:rsid w:val="001F710F"/>
    <w:rsid w:val="001F7160"/>
    <w:rsid w:val="001F7388"/>
    <w:rsid w:val="002005F5"/>
    <w:rsid w:val="00200E8B"/>
    <w:rsid w:val="00201F8D"/>
    <w:rsid w:val="00206BE3"/>
    <w:rsid w:val="0020728D"/>
    <w:rsid w:val="00210F7E"/>
    <w:rsid w:val="002114EA"/>
    <w:rsid w:val="0022483E"/>
    <w:rsid w:val="00230F23"/>
    <w:rsid w:val="00237658"/>
    <w:rsid w:val="0023786A"/>
    <w:rsid w:val="002405B1"/>
    <w:rsid w:val="002409A8"/>
    <w:rsid w:val="002433E2"/>
    <w:rsid w:val="00244709"/>
    <w:rsid w:val="0024582A"/>
    <w:rsid w:val="00245D77"/>
    <w:rsid w:val="002463C6"/>
    <w:rsid w:val="00247BBF"/>
    <w:rsid w:val="002545EC"/>
    <w:rsid w:val="00255E39"/>
    <w:rsid w:val="002574D0"/>
    <w:rsid w:val="00257F40"/>
    <w:rsid w:val="002607C9"/>
    <w:rsid w:val="002626F3"/>
    <w:rsid w:val="00265F2E"/>
    <w:rsid w:val="00266052"/>
    <w:rsid w:val="00272529"/>
    <w:rsid w:val="00272846"/>
    <w:rsid w:val="00273F39"/>
    <w:rsid w:val="00275C27"/>
    <w:rsid w:val="00276EBF"/>
    <w:rsid w:val="002841E8"/>
    <w:rsid w:val="00284B68"/>
    <w:rsid w:val="00285304"/>
    <w:rsid w:val="00286300"/>
    <w:rsid w:val="00286AA8"/>
    <w:rsid w:val="00292233"/>
    <w:rsid w:val="0029561C"/>
    <w:rsid w:val="00297938"/>
    <w:rsid w:val="00297955"/>
    <w:rsid w:val="002A667D"/>
    <w:rsid w:val="002A78AC"/>
    <w:rsid w:val="002B06BA"/>
    <w:rsid w:val="002B32CA"/>
    <w:rsid w:val="002B65B4"/>
    <w:rsid w:val="002B7E93"/>
    <w:rsid w:val="002C7030"/>
    <w:rsid w:val="002D3950"/>
    <w:rsid w:val="002D4391"/>
    <w:rsid w:val="002D439C"/>
    <w:rsid w:val="002D4B4A"/>
    <w:rsid w:val="002D4BD8"/>
    <w:rsid w:val="002D60E9"/>
    <w:rsid w:val="002D6278"/>
    <w:rsid w:val="002D6D83"/>
    <w:rsid w:val="002D7CC6"/>
    <w:rsid w:val="002E0426"/>
    <w:rsid w:val="002F3D2D"/>
    <w:rsid w:val="002F7804"/>
    <w:rsid w:val="00300118"/>
    <w:rsid w:val="00302A21"/>
    <w:rsid w:val="003056F6"/>
    <w:rsid w:val="0030579B"/>
    <w:rsid w:val="00307958"/>
    <w:rsid w:val="00312682"/>
    <w:rsid w:val="00312C94"/>
    <w:rsid w:val="003138F8"/>
    <w:rsid w:val="00317795"/>
    <w:rsid w:val="00326193"/>
    <w:rsid w:val="00327B2E"/>
    <w:rsid w:val="003311EB"/>
    <w:rsid w:val="0033240E"/>
    <w:rsid w:val="00332F94"/>
    <w:rsid w:val="00334F7C"/>
    <w:rsid w:val="003359AF"/>
    <w:rsid w:val="00337357"/>
    <w:rsid w:val="00337438"/>
    <w:rsid w:val="00342C28"/>
    <w:rsid w:val="00344B0D"/>
    <w:rsid w:val="0035199B"/>
    <w:rsid w:val="003605EF"/>
    <w:rsid w:val="00360AA0"/>
    <w:rsid w:val="003666AF"/>
    <w:rsid w:val="00370222"/>
    <w:rsid w:val="003708DD"/>
    <w:rsid w:val="00373931"/>
    <w:rsid w:val="00374127"/>
    <w:rsid w:val="00374AFE"/>
    <w:rsid w:val="00380E1B"/>
    <w:rsid w:val="003823F4"/>
    <w:rsid w:val="00383C99"/>
    <w:rsid w:val="0038508C"/>
    <w:rsid w:val="00386930"/>
    <w:rsid w:val="003914BC"/>
    <w:rsid w:val="0039150E"/>
    <w:rsid w:val="003951F0"/>
    <w:rsid w:val="00397E16"/>
    <w:rsid w:val="00397ED6"/>
    <w:rsid w:val="003A1997"/>
    <w:rsid w:val="003A1F62"/>
    <w:rsid w:val="003A2BBD"/>
    <w:rsid w:val="003A3B21"/>
    <w:rsid w:val="003A55A1"/>
    <w:rsid w:val="003A5CBF"/>
    <w:rsid w:val="003A64F3"/>
    <w:rsid w:val="003A6E68"/>
    <w:rsid w:val="003B388C"/>
    <w:rsid w:val="003B7331"/>
    <w:rsid w:val="003C048A"/>
    <w:rsid w:val="003C08D7"/>
    <w:rsid w:val="003C2C47"/>
    <w:rsid w:val="003C460B"/>
    <w:rsid w:val="003C4BAB"/>
    <w:rsid w:val="003C7F9F"/>
    <w:rsid w:val="003D267E"/>
    <w:rsid w:val="003D28C6"/>
    <w:rsid w:val="003D4B7D"/>
    <w:rsid w:val="003D4D54"/>
    <w:rsid w:val="003E05D6"/>
    <w:rsid w:val="003E09F3"/>
    <w:rsid w:val="003E0E38"/>
    <w:rsid w:val="003E2700"/>
    <w:rsid w:val="003E2EC5"/>
    <w:rsid w:val="003E488F"/>
    <w:rsid w:val="003E4C42"/>
    <w:rsid w:val="003F1E97"/>
    <w:rsid w:val="003F5404"/>
    <w:rsid w:val="003F7154"/>
    <w:rsid w:val="00400165"/>
    <w:rsid w:val="00403FA2"/>
    <w:rsid w:val="00406138"/>
    <w:rsid w:val="004062B8"/>
    <w:rsid w:val="00407FC0"/>
    <w:rsid w:val="004133D8"/>
    <w:rsid w:val="00416BD4"/>
    <w:rsid w:val="004203BE"/>
    <w:rsid w:val="004229B4"/>
    <w:rsid w:val="004238BC"/>
    <w:rsid w:val="00423945"/>
    <w:rsid w:val="00425B1A"/>
    <w:rsid w:val="00425D90"/>
    <w:rsid w:val="00426A39"/>
    <w:rsid w:val="0042791C"/>
    <w:rsid w:val="0043058B"/>
    <w:rsid w:val="00432E3A"/>
    <w:rsid w:val="00433509"/>
    <w:rsid w:val="004375B1"/>
    <w:rsid w:val="00440BB3"/>
    <w:rsid w:val="00440ECB"/>
    <w:rsid w:val="0044175B"/>
    <w:rsid w:val="004469AA"/>
    <w:rsid w:val="004541BA"/>
    <w:rsid w:val="004568E2"/>
    <w:rsid w:val="004574F8"/>
    <w:rsid w:val="0046185D"/>
    <w:rsid w:val="0046338C"/>
    <w:rsid w:val="00464971"/>
    <w:rsid w:val="00471948"/>
    <w:rsid w:val="00471B5E"/>
    <w:rsid w:val="00474A0D"/>
    <w:rsid w:val="004771F7"/>
    <w:rsid w:val="0047730E"/>
    <w:rsid w:val="00480678"/>
    <w:rsid w:val="00480B60"/>
    <w:rsid w:val="0048215B"/>
    <w:rsid w:val="00483073"/>
    <w:rsid w:val="00485FC1"/>
    <w:rsid w:val="00486A7C"/>
    <w:rsid w:val="00487143"/>
    <w:rsid w:val="00487B35"/>
    <w:rsid w:val="00491AAC"/>
    <w:rsid w:val="00492468"/>
    <w:rsid w:val="00495FFA"/>
    <w:rsid w:val="00497CED"/>
    <w:rsid w:val="004A0DAA"/>
    <w:rsid w:val="004A2264"/>
    <w:rsid w:val="004A4902"/>
    <w:rsid w:val="004B1F3E"/>
    <w:rsid w:val="004B488F"/>
    <w:rsid w:val="004B48EF"/>
    <w:rsid w:val="004B52C7"/>
    <w:rsid w:val="004B5762"/>
    <w:rsid w:val="004B6C42"/>
    <w:rsid w:val="004C03D2"/>
    <w:rsid w:val="004C0EC8"/>
    <w:rsid w:val="004C12E2"/>
    <w:rsid w:val="004C193E"/>
    <w:rsid w:val="004C2AEC"/>
    <w:rsid w:val="004C32D9"/>
    <w:rsid w:val="004C4E89"/>
    <w:rsid w:val="004C6AC9"/>
    <w:rsid w:val="004C7048"/>
    <w:rsid w:val="004D0677"/>
    <w:rsid w:val="004D398D"/>
    <w:rsid w:val="004E5484"/>
    <w:rsid w:val="004E70A6"/>
    <w:rsid w:val="004F16F4"/>
    <w:rsid w:val="004F25EC"/>
    <w:rsid w:val="004F37DE"/>
    <w:rsid w:val="004F5AE0"/>
    <w:rsid w:val="004F62CC"/>
    <w:rsid w:val="004F66BD"/>
    <w:rsid w:val="004F6D5E"/>
    <w:rsid w:val="005051B1"/>
    <w:rsid w:val="00510042"/>
    <w:rsid w:val="005126FD"/>
    <w:rsid w:val="00514850"/>
    <w:rsid w:val="00514FA3"/>
    <w:rsid w:val="00520729"/>
    <w:rsid w:val="00523DD2"/>
    <w:rsid w:val="005262B3"/>
    <w:rsid w:val="005309CC"/>
    <w:rsid w:val="0053270E"/>
    <w:rsid w:val="005340FA"/>
    <w:rsid w:val="00534671"/>
    <w:rsid w:val="005357EF"/>
    <w:rsid w:val="00540BF5"/>
    <w:rsid w:val="005457E8"/>
    <w:rsid w:val="005460BC"/>
    <w:rsid w:val="00546D28"/>
    <w:rsid w:val="0055413A"/>
    <w:rsid w:val="0056451B"/>
    <w:rsid w:val="00566DA9"/>
    <w:rsid w:val="00567F58"/>
    <w:rsid w:val="00574189"/>
    <w:rsid w:val="005744DD"/>
    <w:rsid w:val="00575893"/>
    <w:rsid w:val="005767E7"/>
    <w:rsid w:val="00577388"/>
    <w:rsid w:val="005776AE"/>
    <w:rsid w:val="00582920"/>
    <w:rsid w:val="00585318"/>
    <w:rsid w:val="00585748"/>
    <w:rsid w:val="00585CC4"/>
    <w:rsid w:val="00585EAD"/>
    <w:rsid w:val="00586A46"/>
    <w:rsid w:val="00587D9A"/>
    <w:rsid w:val="0059065D"/>
    <w:rsid w:val="0059222D"/>
    <w:rsid w:val="005A100A"/>
    <w:rsid w:val="005A45C1"/>
    <w:rsid w:val="005A6FB4"/>
    <w:rsid w:val="005C05B2"/>
    <w:rsid w:val="005D234C"/>
    <w:rsid w:val="005D4378"/>
    <w:rsid w:val="005D4586"/>
    <w:rsid w:val="005D5DFC"/>
    <w:rsid w:val="005D6CE3"/>
    <w:rsid w:val="005E069C"/>
    <w:rsid w:val="005E1CC0"/>
    <w:rsid w:val="005E3BF2"/>
    <w:rsid w:val="005E45D7"/>
    <w:rsid w:val="005E4820"/>
    <w:rsid w:val="005F5569"/>
    <w:rsid w:val="005F7C39"/>
    <w:rsid w:val="0060566B"/>
    <w:rsid w:val="00611971"/>
    <w:rsid w:val="00620647"/>
    <w:rsid w:val="00622E2A"/>
    <w:rsid w:val="00624914"/>
    <w:rsid w:val="00624DF6"/>
    <w:rsid w:val="00625789"/>
    <w:rsid w:val="006268B7"/>
    <w:rsid w:val="0063000B"/>
    <w:rsid w:val="00631D3A"/>
    <w:rsid w:val="0063207A"/>
    <w:rsid w:val="00635DF2"/>
    <w:rsid w:val="00636F93"/>
    <w:rsid w:val="00637FBB"/>
    <w:rsid w:val="00637FCC"/>
    <w:rsid w:val="0064088B"/>
    <w:rsid w:val="00651826"/>
    <w:rsid w:val="00651A58"/>
    <w:rsid w:val="006524C4"/>
    <w:rsid w:val="00653879"/>
    <w:rsid w:val="00654357"/>
    <w:rsid w:val="00654C36"/>
    <w:rsid w:val="00655444"/>
    <w:rsid w:val="00657814"/>
    <w:rsid w:val="00660F44"/>
    <w:rsid w:val="00663459"/>
    <w:rsid w:val="006671D4"/>
    <w:rsid w:val="0066724B"/>
    <w:rsid w:val="006724FE"/>
    <w:rsid w:val="00673D8C"/>
    <w:rsid w:val="00675011"/>
    <w:rsid w:val="006762E3"/>
    <w:rsid w:val="00681901"/>
    <w:rsid w:val="0068520D"/>
    <w:rsid w:val="00685B74"/>
    <w:rsid w:val="00686D86"/>
    <w:rsid w:val="006970C8"/>
    <w:rsid w:val="006A3234"/>
    <w:rsid w:val="006A4160"/>
    <w:rsid w:val="006A64BB"/>
    <w:rsid w:val="006B06B0"/>
    <w:rsid w:val="006B0F74"/>
    <w:rsid w:val="006B226E"/>
    <w:rsid w:val="006B2CCB"/>
    <w:rsid w:val="006B5E36"/>
    <w:rsid w:val="006B605C"/>
    <w:rsid w:val="006B65AA"/>
    <w:rsid w:val="006C4396"/>
    <w:rsid w:val="006C508C"/>
    <w:rsid w:val="006C51E1"/>
    <w:rsid w:val="006C6565"/>
    <w:rsid w:val="006D19D3"/>
    <w:rsid w:val="006D19F4"/>
    <w:rsid w:val="006D493B"/>
    <w:rsid w:val="006D55DD"/>
    <w:rsid w:val="006D66EB"/>
    <w:rsid w:val="006E1A76"/>
    <w:rsid w:val="006E3D83"/>
    <w:rsid w:val="006F0704"/>
    <w:rsid w:val="006F33EE"/>
    <w:rsid w:val="006F372D"/>
    <w:rsid w:val="006F3ED1"/>
    <w:rsid w:val="006F48A8"/>
    <w:rsid w:val="006F6AD5"/>
    <w:rsid w:val="007004EA"/>
    <w:rsid w:val="00703C63"/>
    <w:rsid w:val="00710202"/>
    <w:rsid w:val="00711E5F"/>
    <w:rsid w:val="00714064"/>
    <w:rsid w:val="00714094"/>
    <w:rsid w:val="00714432"/>
    <w:rsid w:val="00715415"/>
    <w:rsid w:val="00715C08"/>
    <w:rsid w:val="007240AF"/>
    <w:rsid w:val="00725C1C"/>
    <w:rsid w:val="00726F1E"/>
    <w:rsid w:val="00727F95"/>
    <w:rsid w:val="00731173"/>
    <w:rsid w:val="00732BA4"/>
    <w:rsid w:val="007339EA"/>
    <w:rsid w:val="00733C9E"/>
    <w:rsid w:val="00736901"/>
    <w:rsid w:val="007454D0"/>
    <w:rsid w:val="00752462"/>
    <w:rsid w:val="00752D23"/>
    <w:rsid w:val="007532B4"/>
    <w:rsid w:val="00753C4B"/>
    <w:rsid w:val="00753DE0"/>
    <w:rsid w:val="00754E00"/>
    <w:rsid w:val="007573A9"/>
    <w:rsid w:val="00757758"/>
    <w:rsid w:val="00760013"/>
    <w:rsid w:val="007601BC"/>
    <w:rsid w:val="00760511"/>
    <w:rsid w:val="00765FCE"/>
    <w:rsid w:val="00766CE5"/>
    <w:rsid w:val="0077051F"/>
    <w:rsid w:val="007719E0"/>
    <w:rsid w:val="00775024"/>
    <w:rsid w:val="0077750B"/>
    <w:rsid w:val="00780F4A"/>
    <w:rsid w:val="00781BF0"/>
    <w:rsid w:val="007823A9"/>
    <w:rsid w:val="007831E5"/>
    <w:rsid w:val="00783AF6"/>
    <w:rsid w:val="00792995"/>
    <w:rsid w:val="00792C5A"/>
    <w:rsid w:val="00794C3B"/>
    <w:rsid w:val="00796D93"/>
    <w:rsid w:val="00797276"/>
    <w:rsid w:val="007A0F55"/>
    <w:rsid w:val="007A1CD2"/>
    <w:rsid w:val="007A40D1"/>
    <w:rsid w:val="007A4278"/>
    <w:rsid w:val="007A4417"/>
    <w:rsid w:val="007B1387"/>
    <w:rsid w:val="007B55F4"/>
    <w:rsid w:val="007B6BC1"/>
    <w:rsid w:val="007C128A"/>
    <w:rsid w:val="007C67DE"/>
    <w:rsid w:val="007C7F78"/>
    <w:rsid w:val="007D07EA"/>
    <w:rsid w:val="007D0BC2"/>
    <w:rsid w:val="007D20A6"/>
    <w:rsid w:val="007D492C"/>
    <w:rsid w:val="007D7913"/>
    <w:rsid w:val="007E1F75"/>
    <w:rsid w:val="007E32A8"/>
    <w:rsid w:val="007E3FBF"/>
    <w:rsid w:val="007E5A22"/>
    <w:rsid w:val="007E5C29"/>
    <w:rsid w:val="007F2BBF"/>
    <w:rsid w:val="008006A5"/>
    <w:rsid w:val="00802831"/>
    <w:rsid w:val="0081078B"/>
    <w:rsid w:val="00810DC8"/>
    <w:rsid w:val="008123A3"/>
    <w:rsid w:val="00816866"/>
    <w:rsid w:val="0081694D"/>
    <w:rsid w:val="00817514"/>
    <w:rsid w:val="0082151C"/>
    <w:rsid w:val="00821685"/>
    <w:rsid w:val="00825DE1"/>
    <w:rsid w:val="00827E76"/>
    <w:rsid w:val="0083015C"/>
    <w:rsid w:val="00834509"/>
    <w:rsid w:val="008371C6"/>
    <w:rsid w:val="00837A34"/>
    <w:rsid w:val="008415A6"/>
    <w:rsid w:val="00842A6E"/>
    <w:rsid w:val="008430F2"/>
    <w:rsid w:val="00843D34"/>
    <w:rsid w:val="0084541A"/>
    <w:rsid w:val="008470EC"/>
    <w:rsid w:val="00847DD0"/>
    <w:rsid w:val="00854A1C"/>
    <w:rsid w:val="00857630"/>
    <w:rsid w:val="00863C7E"/>
    <w:rsid w:val="00863E59"/>
    <w:rsid w:val="00865962"/>
    <w:rsid w:val="008679A6"/>
    <w:rsid w:val="00876A49"/>
    <w:rsid w:val="00880963"/>
    <w:rsid w:val="008809CD"/>
    <w:rsid w:val="00882A75"/>
    <w:rsid w:val="00884DDC"/>
    <w:rsid w:val="00886E3B"/>
    <w:rsid w:val="00891437"/>
    <w:rsid w:val="00893D9E"/>
    <w:rsid w:val="0089511C"/>
    <w:rsid w:val="00895DD2"/>
    <w:rsid w:val="0089636F"/>
    <w:rsid w:val="00896AC9"/>
    <w:rsid w:val="008A152D"/>
    <w:rsid w:val="008A1B3B"/>
    <w:rsid w:val="008A4600"/>
    <w:rsid w:val="008A4934"/>
    <w:rsid w:val="008A5A5A"/>
    <w:rsid w:val="008A69C5"/>
    <w:rsid w:val="008B1C87"/>
    <w:rsid w:val="008B30A1"/>
    <w:rsid w:val="008B3A12"/>
    <w:rsid w:val="008B6433"/>
    <w:rsid w:val="008B6A8B"/>
    <w:rsid w:val="008B7676"/>
    <w:rsid w:val="008B7A53"/>
    <w:rsid w:val="008B7F54"/>
    <w:rsid w:val="008C0261"/>
    <w:rsid w:val="008C3B9D"/>
    <w:rsid w:val="008C3C95"/>
    <w:rsid w:val="008C4F39"/>
    <w:rsid w:val="008D0F32"/>
    <w:rsid w:val="008D15A3"/>
    <w:rsid w:val="008D58EE"/>
    <w:rsid w:val="008D5D30"/>
    <w:rsid w:val="008D75B7"/>
    <w:rsid w:val="008E1E16"/>
    <w:rsid w:val="008E3A01"/>
    <w:rsid w:val="008E3EF2"/>
    <w:rsid w:val="008E4AFD"/>
    <w:rsid w:val="008E5738"/>
    <w:rsid w:val="008E7D1E"/>
    <w:rsid w:val="008F1555"/>
    <w:rsid w:val="008F1BA8"/>
    <w:rsid w:val="008F2318"/>
    <w:rsid w:val="008F7CEC"/>
    <w:rsid w:val="009004E1"/>
    <w:rsid w:val="009019A4"/>
    <w:rsid w:val="00902ACE"/>
    <w:rsid w:val="0090383C"/>
    <w:rsid w:val="00904C02"/>
    <w:rsid w:val="009051F9"/>
    <w:rsid w:val="00905669"/>
    <w:rsid w:val="00907202"/>
    <w:rsid w:val="00910BCE"/>
    <w:rsid w:val="009126B4"/>
    <w:rsid w:val="0091387D"/>
    <w:rsid w:val="00913E4E"/>
    <w:rsid w:val="00914791"/>
    <w:rsid w:val="009150DD"/>
    <w:rsid w:val="009203D7"/>
    <w:rsid w:val="00922038"/>
    <w:rsid w:val="00922746"/>
    <w:rsid w:val="0092279A"/>
    <w:rsid w:val="00927DEA"/>
    <w:rsid w:val="00930153"/>
    <w:rsid w:val="009305AD"/>
    <w:rsid w:val="00933964"/>
    <w:rsid w:val="009339A6"/>
    <w:rsid w:val="0093469F"/>
    <w:rsid w:val="0093480B"/>
    <w:rsid w:val="0093683E"/>
    <w:rsid w:val="009438D5"/>
    <w:rsid w:val="00944A2F"/>
    <w:rsid w:val="00944BFF"/>
    <w:rsid w:val="00945956"/>
    <w:rsid w:val="00946FFF"/>
    <w:rsid w:val="00947EE9"/>
    <w:rsid w:val="009514F1"/>
    <w:rsid w:val="00956B17"/>
    <w:rsid w:val="009572B5"/>
    <w:rsid w:val="00960AF3"/>
    <w:rsid w:val="00961152"/>
    <w:rsid w:val="009663F8"/>
    <w:rsid w:val="009677E9"/>
    <w:rsid w:val="00970C87"/>
    <w:rsid w:val="00972D10"/>
    <w:rsid w:val="009777AA"/>
    <w:rsid w:val="00980BCD"/>
    <w:rsid w:val="00980F96"/>
    <w:rsid w:val="009822D2"/>
    <w:rsid w:val="009829EB"/>
    <w:rsid w:val="00984505"/>
    <w:rsid w:val="00984B5D"/>
    <w:rsid w:val="009863B3"/>
    <w:rsid w:val="009864FA"/>
    <w:rsid w:val="00987C9C"/>
    <w:rsid w:val="00991475"/>
    <w:rsid w:val="0099387A"/>
    <w:rsid w:val="009A1361"/>
    <w:rsid w:val="009A2FCF"/>
    <w:rsid w:val="009A39D0"/>
    <w:rsid w:val="009A4A2F"/>
    <w:rsid w:val="009A75EF"/>
    <w:rsid w:val="009B15D5"/>
    <w:rsid w:val="009B308A"/>
    <w:rsid w:val="009C09F8"/>
    <w:rsid w:val="009C0C5B"/>
    <w:rsid w:val="009C338A"/>
    <w:rsid w:val="009D211A"/>
    <w:rsid w:val="009D4A1E"/>
    <w:rsid w:val="009D6C92"/>
    <w:rsid w:val="009D6FAD"/>
    <w:rsid w:val="009E0E53"/>
    <w:rsid w:val="009E2EE1"/>
    <w:rsid w:val="009E3523"/>
    <w:rsid w:val="009E3BD5"/>
    <w:rsid w:val="009F578D"/>
    <w:rsid w:val="00A00420"/>
    <w:rsid w:val="00A00C02"/>
    <w:rsid w:val="00A0783D"/>
    <w:rsid w:val="00A07D59"/>
    <w:rsid w:val="00A16F9E"/>
    <w:rsid w:val="00A17A94"/>
    <w:rsid w:val="00A17FA9"/>
    <w:rsid w:val="00A206B6"/>
    <w:rsid w:val="00A20B95"/>
    <w:rsid w:val="00A215F3"/>
    <w:rsid w:val="00A25C2A"/>
    <w:rsid w:val="00A266DF"/>
    <w:rsid w:val="00A27D8A"/>
    <w:rsid w:val="00A31EF8"/>
    <w:rsid w:val="00A3265C"/>
    <w:rsid w:val="00A337A4"/>
    <w:rsid w:val="00A372A5"/>
    <w:rsid w:val="00A376C6"/>
    <w:rsid w:val="00A44625"/>
    <w:rsid w:val="00A518BF"/>
    <w:rsid w:val="00A524F3"/>
    <w:rsid w:val="00A53BBB"/>
    <w:rsid w:val="00A548A9"/>
    <w:rsid w:val="00A54A53"/>
    <w:rsid w:val="00A559C6"/>
    <w:rsid w:val="00A56360"/>
    <w:rsid w:val="00A63874"/>
    <w:rsid w:val="00A66BCA"/>
    <w:rsid w:val="00A729D9"/>
    <w:rsid w:val="00A77E33"/>
    <w:rsid w:val="00A81F0F"/>
    <w:rsid w:val="00A84007"/>
    <w:rsid w:val="00A876E3"/>
    <w:rsid w:val="00A91589"/>
    <w:rsid w:val="00A92F4F"/>
    <w:rsid w:val="00A935A1"/>
    <w:rsid w:val="00A9540C"/>
    <w:rsid w:val="00A97F01"/>
    <w:rsid w:val="00AA0C69"/>
    <w:rsid w:val="00AA1728"/>
    <w:rsid w:val="00AA1E3C"/>
    <w:rsid w:val="00AA24B2"/>
    <w:rsid w:val="00AA2BB7"/>
    <w:rsid w:val="00AA46B0"/>
    <w:rsid w:val="00AA5D63"/>
    <w:rsid w:val="00AB2A71"/>
    <w:rsid w:val="00AC0379"/>
    <w:rsid w:val="00AC1711"/>
    <w:rsid w:val="00AC2AD3"/>
    <w:rsid w:val="00AC408E"/>
    <w:rsid w:val="00AC5423"/>
    <w:rsid w:val="00AC591A"/>
    <w:rsid w:val="00AD0DB1"/>
    <w:rsid w:val="00AD5824"/>
    <w:rsid w:val="00AE1630"/>
    <w:rsid w:val="00AE5291"/>
    <w:rsid w:val="00AE67B0"/>
    <w:rsid w:val="00AE6FA3"/>
    <w:rsid w:val="00AF00E7"/>
    <w:rsid w:val="00AF1431"/>
    <w:rsid w:val="00AF23AF"/>
    <w:rsid w:val="00AF27B8"/>
    <w:rsid w:val="00AF76A4"/>
    <w:rsid w:val="00B03B0C"/>
    <w:rsid w:val="00B05685"/>
    <w:rsid w:val="00B11DBD"/>
    <w:rsid w:val="00B1219D"/>
    <w:rsid w:val="00B123D9"/>
    <w:rsid w:val="00B16640"/>
    <w:rsid w:val="00B22B29"/>
    <w:rsid w:val="00B30241"/>
    <w:rsid w:val="00B315FE"/>
    <w:rsid w:val="00B3364A"/>
    <w:rsid w:val="00B35304"/>
    <w:rsid w:val="00B4045A"/>
    <w:rsid w:val="00B41301"/>
    <w:rsid w:val="00B41F2A"/>
    <w:rsid w:val="00B441B7"/>
    <w:rsid w:val="00B44E9C"/>
    <w:rsid w:val="00B4521C"/>
    <w:rsid w:val="00B46C16"/>
    <w:rsid w:val="00B46D86"/>
    <w:rsid w:val="00B46EE1"/>
    <w:rsid w:val="00B51F0B"/>
    <w:rsid w:val="00B52DE1"/>
    <w:rsid w:val="00B54468"/>
    <w:rsid w:val="00B6110D"/>
    <w:rsid w:val="00B6276D"/>
    <w:rsid w:val="00B62EFB"/>
    <w:rsid w:val="00B65DB0"/>
    <w:rsid w:val="00B66B83"/>
    <w:rsid w:val="00B6786C"/>
    <w:rsid w:val="00B67E1E"/>
    <w:rsid w:val="00B721CC"/>
    <w:rsid w:val="00B743B7"/>
    <w:rsid w:val="00B747C7"/>
    <w:rsid w:val="00B75381"/>
    <w:rsid w:val="00B76EFB"/>
    <w:rsid w:val="00B77573"/>
    <w:rsid w:val="00B81B9D"/>
    <w:rsid w:val="00B86C87"/>
    <w:rsid w:val="00B86D24"/>
    <w:rsid w:val="00B9212F"/>
    <w:rsid w:val="00B942C7"/>
    <w:rsid w:val="00B968BB"/>
    <w:rsid w:val="00BA2A80"/>
    <w:rsid w:val="00BA3E54"/>
    <w:rsid w:val="00BA5501"/>
    <w:rsid w:val="00BB0ADE"/>
    <w:rsid w:val="00BC00D7"/>
    <w:rsid w:val="00BC0DB3"/>
    <w:rsid w:val="00BC136C"/>
    <w:rsid w:val="00BC61EC"/>
    <w:rsid w:val="00BD148E"/>
    <w:rsid w:val="00BD3147"/>
    <w:rsid w:val="00BD6905"/>
    <w:rsid w:val="00BD6D1C"/>
    <w:rsid w:val="00BD7E5D"/>
    <w:rsid w:val="00BE0798"/>
    <w:rsid w:val="00BE0FFF"/>
    <w:rsid w:val="00BE124E"/>
    <w:rsid w:val="00BE1412"/>
    <w:rsid w:val="00BE1E78"/>
    <w:rsid w:val="00BF1383"/>
    <w:rsid w:val="00BF1507"/>
    <w:rsid w:val="00BF358E"/>
    <w:rsid w:val="00C04236"/>
    <w:rsid w:val="00C14528"/>
    <w:rsid w:val="00C156C6"/>
    <w:rsid w:val="00C20391"/>
    <w:rsid w:val="00C21660"/>
    <w:rsid w:val="00C2210F"/>
    <w:rsid w:val="00C23AEF"/>
    <w:rsid w:val="00C240E1"/>
    <w:rsid w:val="00C26027"/>
    <w:rsid w:val="00C26289"/>
    <w:rsid w:val="00C26710"/>
    <w:rsid w:val="00C27443"/>
    <w:rsid w:val="00C27ADB"/>
    <w:rsid w:val="00C30F36"/>
    <w:rsid w:val="00C31988"/>
    <w:rsid w:val="00C32D13"/>
    <w:rsid w:val="00C35919"/>
    <w:rsid w:val="00C36117"/>
    <w:rsid w:val="00C3624C"/>
    <w:rsid w:val="00C363A3"/>
    <w:rsid w:val="00C41564"/>
    <w:rsid w:val="00C42632"/>
    <w:rsid w:val="00C431E9"/>
    <w:rsid w:val="00C46197"/>
    <w:rsid w:val="00C5154E"/>
    <w:rsid w:val="00C51D78"/>
    <w:rsid w:val="00C528A0"/>
    <w:rsid w:val="00C64943"/>
    <w:rsid w:val="00C665A4"/>
    <w:rsid w:val="00C669C8"/>
    <w:rsid w:val="00C73939"/>
    <w:rsid w:val="00C74D99"/>
    <w:rsid w:val="00C75F20"/>
    <w:rsid w:val="00C76037"/>
    <w:rsid w:val="00C7662C"/>
    <w:rsid w:val="00C821BC"/>
    <w:rsid w:val="00C84001"/>
    <w:rsid w:val="00C85FB2"/>
    <w:rsid w:val="00C868AF"/>
    <w:rsid w:val="00C91782"/>
    <w:rsid w:val="00C91EE3"/>
    <w:rsid w:val="00CA270D"/>
    <w:rsid w:val="00CA6770"/>
    <w:rsid w:val="00CA6E88"/>
    <w:rsid w:val="00CB3A3B"/>
    <w:rsid w:val="00CC07C9"/>
    <w:rsid w:val="00CC0F3A"/>
    <w:rsid w:val="00CC5A53"/>
    <w:rsid w:val="00CC73C9"/>
    <w:rsid w:val="00CD1450"/>
    <w:rsid w:val="00CD1D4E"/>
    <w:rsid w:val="00CD7D1A"/>
    <w:rsid w:val="00CE090F"/>
    <w:rsid w:val="00CE1129"/>
    <w:rsid w:val="00CE13A6"/>
    <w:rsid w:val="00CE332B"/>
    <w:rsid w:val="00CE5961"/>
    <w:rsid w:val="00CE5E3A"/>
    <w:rsid w:val="00CE6945"/>
    <w:rsid w:val="00CE6B08"/>
    <w:rsid w:val="00CF07AA"/>
    <w:rsid w:val="00CF513B"/>
    <w:rsid w:val="00CF53FF"/>
    <w:rsid w:val="00CF6E4E"/>
    <w:rsid w:val="00D04324"/>
    <w:rsid w:val="00D10CA6"/>
    <w:rsid w:val="00D11078"/>
    <w:rsid w:val="00D1557F"/>
    <w:rsid w:val="00D20256"/>
    <w:rsid w:val="00D204CD"/>
    <w:rsid w:val="00D21FCE"/>
    <w:rsid w:val="00D22B7C"/>
    <w:rsid w:val="00D267EC"/>
    <w:rsid w:val="00D30FB8"/>
    <w:rsid w:val="00D33C64"/>
    <w:rsid w:val="00D36C0B"/>
    <w:rsid w:val="00D37E74"/>
    <w:rsid w:val="00D421F3"/>
    <w:rsid w:val="00D42D99"/>
    <w:rsid w:val="00D434E9"/>
    <w:rsid w:val="00D4558D"/>
    <w:rsid w:val="00D47671"/>
    <w:rsid w:val="00D50A57"/>
    <w:rsid w:val="00D51821"/>
    <w:rsid w:val="00D51EFE"/>
    <w:rsid w:val="00D52274"/>
    <w:rsid w:val="00D54478"/>
    <w:rsid w:val="00D547EC"/>
    <w:rsid w:val="00D56F01"/>
    <w:rsid w:val="00D64A2F"/>
    <w:rsid w:val="00D75AE1"/>
    <w:rsid w:val="00D80AB7"/>
    <w:rsid w:val="00D84CB3"/>
    <w:rsid w:val="00D85794"/>
    <w:rsid w:val="00D90802"/>
    <w:rsid w:val="00D90DED"/>
    <w:rsid w:val="00D92283"/>
    <w:rsid w:val="00D933C6"/>
    <w:rsid w:val="00D96956"/>
    <w:rsid w:val="00DA0488"/>
    <w:rsid w:val="00DA0DAE"/>
    <w:rsid w:val="00DA32B0"/>
    <w:rsid w:val="00DA4B7D"/>
    <w:rsid w:val="00DA6FE5"/>
    <w:rsid w:val="00DB0F5F"/>
    <w:rsid w:val="00DB21B4"/>
    <w:rsid w:val="00DB3BF1"/>
    <w:rsid w:val="00DB4E58"/>
    <w:rsid w:val="00DC1F9A"/>
    <w:rsid w:val="00DC69FF"/>
    <w:rsid w:val="00DC7DD6"/>
    <w:rsid w:val="00DD2D00"/>
    <w:rsid w:val="00DD5404"/>
    <w:rsid w:val="00DD68D5"/>
    <w:rsid w:val="00DE1895"/>
    <w:rsid w:val="00DE73E6"/>
    <w:rsid w:val="00DE7407"/>
    <w:rsid w:val="00DE7F45"/>
    <w:rsid w:val="00DF73F4"/>
    <w:rsid w:val="00DF7526"/>
    <w:rsid w:val="00E00530"/>
    <w:rsid w:val="00E0303E"/>
    <w:rsid w:val="00E038C8"/>
    <w:rsid w:val="00E03D8A"/>
    <w:rsid w:val="00E0659B"/>
    <w:rsid w:val="00E078CF"/>
    <w:rsid w:val="00E12414"/>
    <w:rsid w:val="00E15F4D"/>
    <w:rsid w:val="00E202FA"/>
    <w:rsid w:val="00E2450B"/>
    <w:rsid w:val="00E3324A"/>
    <w:rsid w:val="00E35A54"/>
    <w:rsid w:val="00E37A80"/>
    <w:rsid w:val="00E418AE"/>
    <w:rsid w:val="00E4301A"/>
    <w:rsid w:val="00E44115"/>
    <w:rsid w:val="00E44B9B"/>
    <w:rsid w:val="00E44C50"/>
    <w:rsid w:val="00E47266"/>
    <w:rsid w:val="00E47A68"/>
    <w:rsid w:val="00E538B4"/>
    <w:rsid w:val="00E571AC"/>
    <w:rsid w:val="00E60E72"/>
    <w:rsid w:val="00E617FB"/>
    <w:rsid w:val="00E627FE"/>
    <w:rsid w:val="00E62B0D"/>
    <w:rsid w:val="00E663CB"/>
    <w:rsid w:val="00E67BAC"/>
    <w:rsid w:val="00E706BA"/>
    <w:rsid w:val="00E74EE0"/>
    <w:rsid w:val="00E75783"/>
    <w:rsid w:val="00E853F8"/>
    <w:rsid w:val="00E85942"/>
    <w:rsid w:val="00E8599D"/>
    <w:rsid w:val="00E873CC"/>
    <w:rsid w:val="00E91831"/>
    <w:rsid w:val="00E951B0"/>
    <w:rsid w:val="00E96FB2"/>
    <w:rsid w:val="00E9740C"/>
    <w:rsid w:val="00E977B4"/>
    <w:rsid w:val="00EA06C2"/>
    <w:rsid w:val="00EA327B"/>
    <w:rsid w:val="00EA37B5"/>
    <w:rsid w:val="00EB0265"/>
    <w:rsid w:val="00EB1089"/>
    <w:rsid w:val="00EB183F"/>
    <w:rsid w:val="00EB2391"/>
    <w:rsid w:val="00EB638E"/>
    <w:rsid w:val="00EB702D"/>
    <w:rsid w:val="00EC0BCD"/>
    <w:rsid w:val="00EC13BF"/>
    <w:rsid w:val="00ED2068"/>
    <w:rsid w:val="00ED3DA3"/>
    <w:rsid w:val="00ED40AD"/>
    <w:rsid w:val="00ED6E74"/>
    <w:rsid w:val="00ED7EEF"/>
    <w:rsid w:val="00ED7EF5"/>
    <w:rsid w:val="00EE0969"/>
    <w:rsid w:val="00EE097D"/>
    <w:rsid w:val="00EE0A76"/>
    <w:rsid w:val="00EE3F87"/>
    <w:rsid w:val="00EE5E0F"/>
    <w:rsid w:val="00EE60AF"/>
    <w:rsid w:val="00EE6C44"/>
    <w:rsid w:val="00EF47FC"/>
    <w:rsid w:val="00EF6F78"/>
    <w:rsid w:val="00EF7D6A"/>
    <w:rsid w:val="00F1027B"/>
    <w:rsid w:val="00F1480A"/>
    <w:rsid w:val="00F166D6"/>
    <w:rsid w:val="00F20EEE"/>
    <w:rsid w:val="00F30EB0"/>
    <w:rsid w:val="00F357FC"/>
    <w:rsid w:val="00F35F49"/>
    <w:rsid w:val="00F41114"/>
    <w:rsid w:val="00F43941"/>
    <w:rsid w:val="00F44079"/>
    <w:rsid w:val="00F520D5"/>
    <w:rsid w:val="00F5326B"/>
    <w:rsid w:val="00F53F31"/>
    <w:rsid w:val="00F568DD"/>
    <w:rsid w:val="00F56A67"/>
    <w:rsid w:val="00F6189C"/>
    <w:rsid w:val="00F62113"/>
    <w:rsid w:val="00F62A9F"/>
    <w:rsid w:val="00F70FA1"/>
    <w:rsid w:val="00F735F4"/>
    <w:rsid w:val="00F842C3"/>
    <w:rsid w:val="00F84812"/>
    <w:rsid w:val="00F85E20"/>
    <w:rsid w:val="00F930ED"/>
    <w:rsid w:val="00F93E18"/>
    <w:rsid w:val="00F969A8"/>
    <w:rsid w:val="00F96A34"/>
    <w:rsid w:val="00FA12D7"/>
    <w:rsid w:val="00FA2AC1"/>
    <w:rsid w:val="00FA2C81"/>
    <w:rsid w:val="00FA2D41"/>
    <w:rsid w:val="00FA3C08"/>
    <w:rsid w:val="00FA6257"/>
    <w:rsid w:val="00FB2DC6"/>
    <w:rsid w:val="00FB51A9"/>
    <w:rsid w:val="00FB5CB0"/>
    <w:rsid w:val="00FB6497"/>
    <w:rsid w:val="00FC08A0"/>
    <w:rsid w:val="00FC6646"/>
    <w:rsid w:val="00FC66A5"/>
    <w:rsid w:val="00FC7E8B"/>
    <w:rsid w:val="00FD0397"/>
    <w:rsid w:val="00FD04E8"/>
    <w:rsid w:val="00FD56C2"/>
    <w:rsid w:val="00FD57B4"/>
    <w:rsid w:val="00FD61DD"/>
    <w:rsid w:val="00FD6FAC"/>
    <w:rsid w:val="00FD7124"/>
    <w:rsid w:val="00FE1601"/>
    <w:rsid w:val="00FE4087"/>
    <w:rsid w:val="00FE4742"/>
    <w:rsid w:val="00FE52FC"/>
    <w:rsid w:val="00FE5591"/>
    <w:rsid w:val="00FE7C3E"/>
    <w:rsid w:val="00FF02A7"/>
    <w:rsid w:val="00FF0950"/>
    <w:rsid w:val="00FF1E57"/>
    <w:rsid w:val="00FF2382"/>
    <w:rsid w:val="00FF2D24"/>
    <w:rsid w:val="00FF54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62CB40-5BA2-487A-BDD2-929658294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DC8"/>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10DC8"/>
    <w:rPr>
      <w:sz w:val="22"/>
      <w:szCs w:val="22"/>
      <w:lang w:val="es-ES" w:eastAsia="en-US"/>
    </w:rPr>
  </w:style>
  <w:style w:type="paragraph" w:customStyle="1" w:styleId="Texto">
    <w:name w:val="Texto"/>
    <w:basedOn w:val="Normal"/>
    <w:link w:val="TextoCar"/>
    <w:rsid w:val="00810DC8"/>
    <w:pPr>
      <w:spacing w:after="101" w:line="216" w:lineRule="exact"/>
      <w:ind w:firstLine="288"/>
      <w:jc w:val="both"/>
    </w:pPr>
    <w:rPr>
      <w:rFonts w:ascii="Arial" w:eastAsia="Times New Roman" w:hAnsi="Arial"/>
      <w:sz w:val="18"/>
      <w:szCs w:val="20"/>
      <w:lang w:eastAsia="es-ES"/>
    </w:rPr>
  </w:style>
  <w:style w:type="character" w:customStyle="1" w:styleId="TextoCar">
    <w:name w:val="Texto Car"/>
    <w:link w:val="Texto"/>
    <w:locked/>
    <w:rsid w:val="00810DC8"/>
    <w:rPr>
      <w:rFonts w:ascii="Arial" w:eastAsia="Times New Roman" w:hAnsi="Arial" w:cs="Times New Roman"/>
      <w:sz w:val="18"/>
      <w:szCs w:val="20"/>
      <w:lang w:val="es-ES" w:eastAsia="es-ES"/>
    </w:rPr>
  </w:style>
  <w:style w:type="paragraph" w:styleId="NormalWeb">
    <w:name w:val="Normal (Web)"/>
    <w:basedOn w:val="Normal"/>
    <w:uiPriority w:val="99"/>
    <w:semiHidden/>
    <w:unhideWhenUsed/>
    <w:rsid w:val="004541BA"/>
    <w:pPr>
      <w:spacing w:before="100" w:beforeAutospacing="1" w:after="100" w:afterAutospacing="1" w:line="240" w:lineRule="auto"/>
    </w:pPr>
    <w:rPr>
      <w:rFonts w:ascii="Times New Roman" w:hAnsi="Times New Roman"/>
      <w:sz w:val="24"/>
      <w:szCs w:val="24"/>
      <w:lang w:val="es-MX" w:eastAsia="es-MX"/>
    </w:rPr>
  </w:style>
  <w:style w:type="paragraph" w:styleId="Prrafodelista">
    <w:name w:val="List Paragraph"/>
    <w:basedOn w:val="Normal"/>
    <w:uiPriority w:val="34"/>
    <w:qFormat/>
    <w:rsid w:val="007D7913"/>
    <w:pPr>
      <w:ind w:left="708"/>
    </w:pPr>
    <w:rPr>
      <w:lang w:val="es-MX"/>
    </w:rPr>
  </w:style>
  <w:style w:type="paragraph" w:styleId="Textodeglobo">
    <w:name w:val="Balloon Text"/>
    <w:basedOn w:val="Normal"/>
    <w:link w:val="TextodegloboCar"/>
    <w:uiPriority w:val="99"/>
    <w:semiHidden/>
    <w:unhideWhenUsed/>
    <w:rsid w:val="00FC66A5"/>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FC66A5"/>
    <w:rPr>
      <w:rFonts w:ascii="Segoe UI" w:hAnsi="Segoe UI" w:cs="Segoe UI"/>
      <w:sz w:val="18"/>
      <w:szCs w:val="18"/>
      <w:lang w:val="es-ES" w:eastAsia="en-US"/>
    </w:rPr>
  </w:style>
  <w:style w:type="character" w:styleId="nfasisintenso">
    <w:name w:val="Intense Emphasis"/>
    <w:uiPriority w:val="21"/>
    <w:qFormat/>
    <w:rsid w:val="008B30A1"/>
    <w:rPr>
      <w:i/>
      <w:iCs/>
      <w:color w:val="5B9BD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29526">
      <w:bodyDiv w:val="1"/>
      <w:marLeft w:val="0"/>
      <w:marRight w:val="0"/>
      <w:marTop w:val="0"/>
      <w:marBottom w:val="0"/>
      <w:divBdr>
        <w:top w:val="none" w:sz="0" w:space="0" w:color="auto"/>
        <w:left w:val="none" w:sz="0" w:space="0" w:color="auto"/>
        <w:bottom w:val="none" w:sz="0" w:space="0" w:color="auto"/>
        <w:right w:val="none" w:sz="0" w:space="0" w:color="auto"/>
      </w:divBdr>
    </w:div>
    <w:div w:id="150951119">
      <w:bodyDiv w:val="1"/>
      <w:marLeft w:val="0"/>
      <w:marRight w:val="0"/>
      <w:marTop w:val="0"/>
      <w:marBottom w:val="0"/>
      <w:divBdr>
        <w:top w:val="none" w:sz="0" w:space="0" w:color="auto"/>
        <w:left w:val="none" w:sz="0" w:space="0" w:color="auto"/>
        <w:bottom w:val="none" w:sz="0" w:space="0" w:color="auto"/>
        <w:right w:val="none" w:sz="0" w:space="0" w:color="auto"/>
      </w:divBdr>
    </w:div>
    <w:div w:id="308479395">
      <w:bodyDiv w:val="1"/>
      <w:marLeft w:val="0"/>
      <w:marRight w:val="0"/>
      <w:marTop w:val="0"/>
      <w:marBottom w:val="0"/>
      <w:divBdr>
        <w:top w:val="none" w:sz="0" w:space="0" w:color="auto"/>
        <w:left w:val="none" w:sz="0" w:space="0" w:color="auto"/>
        <w:bottom w:val="none" w:sz="0" w:space="0" w:color="auto"/>
        <w:right w:val="none" w:sz="0" w:space="0" w:color="auto"/>
      </w:divBdr>
    </w:div>
    <w:div w:id="340737480">
      <w:bodyDiv w:val="1"/>
      <w:marLeft w:val="0"/>
      <w:marRight w:val="0"/>
      <w:marTop w:val="0"/>
      <w:marBottom w:val="0"/>
      <w:divBdr>
        <w:top w:val="none" w:sz="0" w:space="0" w:color="auto"/>
        <w:left w:val="none" w:sz="0" w:space="0" w:color="auto"/>
        <w:bottom w:val="none" w:sz="0" w:space="0" w:color="auto"/>
        <w:right w:val="none" w:sz="0" w:space="0" w:color="auto"/>
      </w:divBdr>
    </w:div>
    <w:div w:id="360592998">
      <w:bodyDiv w:val="1"/>
      <w:marLeft w:val="0"/>
      <w:marRight w:val="0"/>
      <w:marTop w:val="0"/>
      <w:marBottom w:val="0"/>
      <w:divBdr>
        <w:top w:val="none" w:sz="0" w:space="0" w:color="auto"/>
        <w:left w:val="none" w:sz="0" w:space="0" w:color="auto"/>
        <w:bottom w:val="none" w:sz="0" w:space="0" w:color="auto"/>
        <w:right w:val="none" w:sz="0" w:space="0" w:color="auto"/>
      </w:divBdr>
    </w:div>
    <w:div w:id="417293901">
      <w:bodyDiv w:val="1"/>
      <w:marLeft w:val="0"/>
      <w:marRight w:val="0"/>
      <w:marTop w:val="0"/>
      <w:marBottom w:val="0"/>
      <w:divBdr>
        <w:top w:val="none" w:sz="0" w:space="0" w:color="auto"/>
        <w:left w:val="none" w:sz="0" w:space="0" w:color="auto"/>
        <w:bottom w:val="none" w:sz="0" w:space="0" w:color="auto"/>
        <w:right w:val="none" w:sz="0" w:space="0" w:color="auto"/>
      </w:divBdr>
    </w:div>
    <w:div w:id="423306837">
      <w:bodyDiv w:val="1"/>
      <w:marLeft w:val="0"/>
      <w:marRight w:val="0"/>
      <w:marTop w:val="0"/>
      <w:marBottom w:val="0"/>
      <w:divBdr>
        <w:top w:val="none" w:sz="0" w:space="0" w:color="auto"/>
        <w:left w:val="none" w:sz="0" w:space="0" w:color="auto"/>
        <w:bottom w:val="none" w:sz="0" w:space="0" w:color="auto"/>
        <w:right w:val="none" w:sz="0" w:space="0" w:color="auto"/>
      </w:divBdr>
    </w:div>
    <w:div w:id="499348580">
      <w:bodyDiv w:val="1"/>
      <w:marLeft w:val="0"/>
      <w:marRight w:val="0"/>
      <w:marTop w:val="0"/>
      <w:marBottom w:val="0"/>
      <w:divBdr>
        <w:top w:val="none" w:sz="0" w:space="0" w:color="auto"/>
        <w:left w:val="none" w:sz="0" w:space="0" w:color="auto"/>
        <w:bottom w:val="none" w:sz="0" w:space="0" w:color="auto"/>
        <w:right w:val="none" w:sz="0" w:space="0" w:color="auto"/>
      </w:divBdr>
    </w:div>
    <w:div w:id="554202867">
      <w:bodyDiv w:val="1"/>
      <w:marLeft w:val="0"/>
      <w:marRight w:val="0"/>
      <w:marTop w:val="0"/>
      <w:marBottom w:val="0"/>
      <w:divBdr>
        <w:top w:val="none" w:sz="0" w:space="0" w:color="auto"/>
        <w:left w:val="none" w:sz="0" w:space="0" w:color="auto"/>
        <w:bottom w:val="none" w:sz="0" w:space="0" w:color="auto"/>
        <w:right w:val="none" w:sz="0" w:space="0" w:color="auto"/>
      </w:divBdr>
    </w:div>
    <w:div w:id="586111126">
      <w:bodyDiv w:val="1"/>
      <w:marLeft w:val="0"/>
      <w:marRight w:val="0"/>
      <w:marTop w:val="0"/>
      <w:marBottom w:val="0"/>
      <w:divBdr>
        <w:top w:val="none" w:sz="0" w:space="0" w:color="auto"/>
        <w:left w:val="none" w:sz="0" w:space="0" w:color="auto"/>
        <w:bottom w:val="none" w:sz="0" w:space="0" w:color="auto"/>
        <w:right w:val="none" w:sz="0" w:space="0" w:color="auto"/>
      </w:divBdr>
    </w:div>
    <w:div w:id="692538026">
      <w:bodyDiv w:val="1"/>
      <w:marLeft w:val="0"/>
      <w:marRight w:val="0"/>
      <w:marTop w:val="0"/>
      <w:marBottom w:val="0"/>
      <w:divBdr>
        <w:top w:val="none" w:sz="0" w:space="0" w:color="auto"/>
        <w:left w:val="none" w:sz="0" w:space="0" w:color="auto"/>
        <w:bottom w:val="none" w:sz="0" w:space="0" w:color="auto"/>
        <w:right w:val="none" w:sz="0" w:space="0" w:color="auto"/>
      </w:divBdr>
    </w:div>
    <w:div w:id="812210328">
      <w:bodyDiv w:val="1"/>
      <w:marLeft w:val="0"/>
      <w:marRight w:val="0"/>
      <w:marTop w:val="0"/>
      <w:marBottom w:val="0"/>
      <w:divBdr>
        <w:top w:val="none" w:sz="0" w:space="0" w:color="auto"/>
        <w:left w:val="none" w:sz="0" w:space="0" w:color="auto"/>
        <w:bottom w:val="none" w:sz="0" w:space="0" w:color="auto"/>
        <w:right w:val="none" w:sz="0" w:space="0" w:color="auto"/>
      </w:divBdr>
      <w:divsChild>
        <w:div w:id="67575533">
          <w:marLeft w:val="0"/>
          <w:marRight w:val="0"/>
          <w:marTop w:val="0"/>
          <w:marBottom w:val="0"/>
          <w:divBdr>
            <w:top w:val="none" w:sz="0" w:space="0" w:color="auto"/>
            <w:left w:val="none" w:sz="0" w:space="0" w:color="auto"/>
            <w:bottom w:val="none" w:sz="0" w:space="0" w:color="auto"/>
            <w:right w:val="none" w:sz="0" w:space="0" w:color="auto"/>
          </w:divBdr>
        </w:div>
        <w:div w:id="156963334">
          <w:marLeft w:val="0"/>
          <w:marRight w:val="0"/>
          <w:marTop w:val="0"/>
          <w:marBottom w:val="0"/>
          <w:divBdr>
            <w:top w:val="none" w:sz="0" w:space="0" w:color="auto"/>
            <w:left w:val="none" w:sz="0" w:space="0" w:color="auto"/>
            <w:bottom w:val="none" w:sz="0" w:space="0" w:color="auto"/>
            <w:right w:val="none" w:sz="0" w:space="0" w:color="auto"/>
          </w:divBdr>
        </w:div>
        <w:div w:id="845364847">
          <w:marLeft w:val="0"/>
          <w:marRight w:val="0"/>
          <w:marTop w:val="0"/>
          <w:marBottom w:val="0"/>
          <w:divBdr>
            <w:top w:val="none" w:sz="0" w:space="0" w:color="auto"/>
            <w:left w:val="none" w:sz="0" w:space="0" w:color="auto"/>
            <w:bottom w:val="none" w:sz="0" w:space="0" w:color="auto"/>
            <w:right w:val="none" w:sz="0" w:space="0" w:color="auto"/>
          </w:divBdr>
        </w:div>
        <w:div w:id="867793830">
          <w:marLeft w:val="0"/>
          <w:marRight w:val="0"/>
          <w:marTop w:val="0"/>
          <w:marBottom w:val="0"/>
          <w:divBdr>
            <w:top w:val="none" w:sz="0" w:space="0" w:color="auto"/>
            <w:left w:val="none" w:sz="0" w:space="0" w:color="auto"/>
            <w:bottom w:val="none" w:sz="0" w:space="0" w:color="auto"/>
            <w:right w:val="none" w:sz="0" w:space="0" w:color="auto"/>
          </w:divBdr>
        </w:div>
        <w:div w:id="1167865962">
          <w:marLeft w:val="0"/>
          <w:marRight w:val="0"/>
          <w:marTop w:val="0"/>
          <w:marBottom w:val="0"/>
          <w:divBdr>
            <w:top w:val="none" w:sz="0" w:space="0" w:color="auto"/>
            <w:left w:val="none" w:sz="0" w:space="0" w:color="auto"/>
            <w:bottom w:val="none" w:sz="0" w:space="0" w:color="auto"/>
            <w:right w:val="none" w:sz="0" w:space="0" w:color="auto"/>
          </w:divBdr>
        </w:div>
        <w:div w:id="1209684172">
          <w:marLeft w:val="0"/>
          <w:marRight w:val="0"/>
          <w:marTop w:val="0"/>
          <w:marBottom w:val="0"/>
          <w:divBdr>
            <w:top w:val="none" w:sz="0" w:space="0" w:color="auto"/>
            <w:left w:val="none" w:sz="0" w:space="0" w:color="auto"/>
            <w:bottom w:val="none" w:sz="0" w:space="0" w:color="auto"/>
            <w:right w:val="none" w:sz="0" w:space="0" w:color="auto"/>
          </w:divBdr>
        </w:div>
        <w:div w:id="1399552258">
          <w:marLeft w:val="0"/>
          <w:marRight w:val="0"/>
          <w:marTop w:val="0"/>
          <w:marBottom w:val="0"/>
          <w:divBdr>
            <w:top w:val="none" w:sz="0" w:space="0" w:color="auto"/>
            <w:left w:val="none" w:sz="0" w:space="0" w:color="auto"/>
            <w:bottom w:val="none" w:sz="0" w:space="0" w:color="auto"/>
            <w:right w:val="none" w:sz="0" w:space="0" w:color="auto"/>
          </w:divBdr>
        </w:div>
        <w:div w:id="1405028226">
          <w:marLeft w:val="0"/>
          <w:marRight w:val="0"/>
          <w:marTop w:val="0"/>
          <w:marBottom w:val="0"/>
          <w:divBdr>
            <w:top w:val="none" w:sz="0" w:space="0" w:color="auto"/>
            <w:left w:val="none" w:sz="0" w:space="0" w:color="auto"/>
            <w:bottom w:val="none" w:sz="0" w:space="0" w:color="auto"/>
            <w:right w:val="none" w:sz="0" w:space="0" w:color="auto"/>
          </w:divBdr>
        </w:div>
        <w:div w:id="2045444431">
          <w:marLeft w:val="0"/>
          <w:marRight w:val="0"/>
          <w:marTop w:val="0"/>
          <w:marBottom w:val="0"/>
          <w:divBdr>
            <w:top w:val="none" w:sz="0" w:space="0" w:color="auto"/>
            <w:left w:val="none" w:sz="0" w:space="0" w:color="auto"/>
            <w:bottom w:val="none" w:sz="0" w:space="0" w:color="auto"/>
            <w:right w:val="none" w:sz="0" w:space="0" w:color="auto"/>
          </w:divBdr>
        </w:div>
        <w:div w:id="2120101035">
          <w:marLeft w:val="0"/>
          <w:marRight w:val="0"/>
          <w:marTop w:val="0"/>
          <w:marBottom w:val="0"/>
          <w:divBdr>
            <w:top w:val="none" w:sz="0" w:space="0" w:color="auto"/>
            <w:left w:val="none" w:sz="0" w:space="0" w:color="auto"/>
            <w:bottom w:val="none" w:sz="0" w:space="0" w:color="auto"/>
            <w:right w:val="none" w:sz="0" w:space="0" w:color="auto"/>
          </w:divBdr>
        </w:div>
      </w:divsChild>
    </w:div>
    <w:div w:id="815026389">
      <w:bodyDiv w:val="1"/>
      <w:marLeft w:val="0"/>
      <w:marRight w:val="0"/>
      <w:marTop w:val="0"/>
      <w:marBottom w:val="0"/>
      <w:divBdr>
        <w:top w:val="none" w:sz="0" w:space="0" w:color="auto"/>
        <w:left w:val="none" w:sz="0" w:space="0" w:color="auto"/>
        <w:bottom w:val="none" w:sz="0" w:space="0" w:color="auto"/>
        <w:right w:val="none" w:sz="0" w:space="0" w:color="auto"/>
      </w:divBdr>
    </w:div>
    <w:div w:id="823354581">
      <w:bodyDiv w:val="1"/>
      <w:marLeft w:val="0"/>
      <w:marRight w:val="0"/>
      <w:marTop w:val="0"/>
      <w:marBottom w:val="0"/>
      <w:divBdr>
        <w:top w:val="none" w:sz="0" w:space="0" w:color="auto"/>
        <w:left w:val="none" w:sz="0" w:space="0" w:color="auto"/>
        <w:bottom w:val="none" w:sz="0" w:space="0" w:color="auto"/>
        <w:right w:val="none" w:sz="0" w:space="0" w:color="auto"/>
      </w:divBdr>
    </w:div>
    <w:div w:id="847670009">
      <w:bodyDiv w:val="1"/>
      <w:marLeft w:val="0"/>
      <w:marRight w:val="0"/>
      <w:marTop w:val="0"/>
      <w:marBottom w:val="0"/>
      <w:divBdr>
        <w:top w:val="none" w:sz="0" w:space="0" w:color="auto"/>
        <w:left w:val="none" w:sz="0" w:space="0" w:color="auto"/>
        <w:bottom w:val="none" w:sz="0" w:space="0" w:color="auto"/>
        <w:right w:val="none" w:sz="0" w:space="0" w:color="auto"/>
      </w:divBdr>
    </w:div>
    <w:div w:id="874779525">
      <w:bodyDiv w:val="1"/>
      <w:marLeft w:val="0"/>
      <w:marRight w:val="0"/>
      <w:marTop w:val="0"/>
      <w:marBottom w:val="0"/>
      <w:divBdr>
        <w:top w:val="none" w:sz="0" w:space="0" w:color="auto"/>
        <w:left w:val="none" w:sz="0" w:space="0" w:color="auto"/>
        <w:bottom w:val="none" w:sz="0" w:space="0" w:color="auto"/>
        <w:right w:val="none" w:sz="0" w:space="0" w:color="auto"/>
      </w:divBdr>
    </w:div>
    <w:div w:id="888030211">
      <w:bodyDiv w:val="1"/>
      <w:marLeft w:val="0"/>
      <w:marRight w:val="0"/>
      <w:marTop w:val="0"/>
      <w:marBottom w:val="0"/>
      <w:divBdr>
        <w:top w:val="none" w:sz="0" w:space="0" w:color="auto"/>
        <w:left w:val="none" w:sz="0" w:space="0" w:color="auto"/>
        <w:bottom w:val="none" w:sz="0" w:space="0" w:color="auto"/>
        <w:right w:val="none" w:sz="0" w:space="0" w:color="auto"/>
      </w:divBdr>
    </w:div>
    <w:div w:id="994645663">
      <w:bodyDiv w:val="1"/>
      <w:marLeft w:val="0"/>
      <w:marRight w:val="0"/>
      <w:marTop w:val="0"/>
      <w:marBottom w:val="0"/>
      <w:divBdr>
        <w:top w:val="none" w:sz="0" w:space="0" w:color="auto"/>
        <w:left w:val="none" w:sz="0" w:space="0" w:color="auto"/>
        <w:bottom w:val="none" w:sz="0" w:space="0" w:color="auto"/>
        <w:right w:val="none" w:sz="0" w:space="0" w:color="auto"/>
      </w:divBdr>
      <w:divsChild>
        <w:div w:id="464661242">
          <w:marLeft w:val="0"/>
          <w:marRight w:val="0"/>
          <w:marTop w:val="0"/>
          <w:marBottom w:val="0"/>
          <w:divBdr>
            <w:top w:val="none" w:sz="0" w:space="0" w:color="auto"/>
            <w:left w:val="none" w:sz="0" w:space="0" w:color="auto"/>
            <w:bottom w:val="none" w:sz="0" w:space="0" w:color="auto"/>
            <w:right w:val="none" w:sz="0" w:space="0" w:color="auto"/>
          </w:divBdr>
        </w:div>
      </w:divsChild>
    </w:div>
    <w:div w:id="995456696">
      <w:bodyDiv w:val="1"/>
      <w:marLeft w:val="0"/>
      <w:marRight w:val="0"/>
      <w:marTop w:val="0"/>
      <w:marBottom w:val="0"/>
      <w:divBdr>
        <w:top w:val="none" w:sz="0" w:space="0" w:color="auto"/>
        <w:left w:val="none" w:sz="0" w:space="0" w:color="auto"/>
        <w:bottom w:val="none" w:sz="0" w:space="0" w:color="auto"/>
        <w:right w:val="none" w:sz="0" w:space="0" w:color="auto"/>
      </w:divBdr>
      <w:divsChild>
        <w:div w:id="563762243">
          <w:marLeft w:val="0"/>
          <w:marRight w:val="0"/>
          <w:marTop w:val="0"/>
          <w:marBottom w:val="0"/>
          <w:divBdr>
            <w:top w:val="none" w:sz="0" w:space="0" w:color="auto"/>
            <w:left w:val="none" w:sz="0" w:space="0" w:color="auto"/>
            <w:bottom w:val="none" w:sz="0" w:space="0" w:color="auto"/>
            <w:right w:val="none" w:sz="0" w:space="0" w:color="auto"/>
          </w:divBdr>
        </w:div>
      </w:divsChild>
    </w:div>
    <w:div w:id="1009331726">
      <w:bodyDiv w:val="1"/>
      <w:marLeft w:val="0"/>
      <w:marRight w:val="0"/>
      <w:marTop w:val="0"/>
      <w:marBottom w:val="0"/>
      <w:divBdr>
        <w:top w:val="none" w:sz="0" w:space="0" w:color="auto"/>
        <w:left w:val="none" w:sz="0" w:space="0" w:color="auto"/>
        <w:bottom w:val="none" w:sz="0" w:space="0" w:color="auto"/>
        <w:right w:val="none" w:sz="0" w:space="0" w:color="auto"/>
      </w:divBdr>
    </w:div>
    <w:div w:id="1050566994">
      <w:bodyDiv w:val="1"/>
      <w:marLeft w:val="0"/>
      <w:marRight w:val="0"/>
      <w:marTop w:val="0"/>
      <w:marBottom w:val="0"/>
      <w:divBdr>
        <w:top w:val="none" w:sz="0" w:space="0" w:color="auto"/>
        <w:left w:val="none" w:sz="0" w:space="0" w:color="auto"/>
        <w:bottom w:val="none" w:sz="0" w:space="0" w:color="auto"/>
        <w:right w:val="none" w:sz="0" w:space="0" w:color="auto"/>
      </w:divBdr>
    </w:div>
    <w:div w:id="1085150125">
      <w:bodyDiv w:val="1"/>
      <w:marLeft w:val="0"/>
      <w:marRight w:val="0"/>
      <w:marTop w:val="0"/>
      <w:marBottom w:val="0"/>
      <w:divBdr>
        <w:top w:val="none" w:sz="0" w:space="0" w:color="auto"/>
        <w:left w:val="none" w:sz="0" w:space="0" w:color="auto"/>
        <w:bottom w:val="none" w:sz="0" w:space="0" w:color="auto"/>
        <w:right w:val="none" w:sz="0" w:space="0" w:color="auto"/>
      </w:divBdr>
    </w:div>
    <w:div w:id="1151754151">
      <w:bodyDiv w:val="1"/>
      <w:marLeft w:val="0"/>
      <w:marRight w:val="0"/>
      <w:marTop w:val="0"/>
      <w:marBottom w:val="0"/>
      <w:divBdr>
        <w:top w:val="none" w:sz="0" w:space="0" w:color="auto"/>
        <w:left w:val="none" w:sz="0" w:space="0" w:color="auto"/>
        <w:bottom w:val="none" w:sz="0" w:space="0" w:color="auto"/>
        <w:right w:val="none" w:sz="0" w:space="0" w:color="auto"/>
      </w:divBdr>
    </w:div>
    <w:div w:id="1175146311">
      <w:bodyDiv w:val="1"/>
      <w:marLeft w:val="0"/>
      <w:marRight w:val="0"/>
      <w:marTop w:val="0"/>
      <w:marBottom w:val="0"/>
      <w:divBdr>
        <w:top w:val="none" w:sz="0" w:space="0" w:color="auto"/>
        <w:left w:val="none" w:sz="0" w:space="0" w:color="auto"/>
        <w:bottom w:val="none" w:sz="0" w:space="0" w:color="auto"/>
        <w:right w:val="none" w:sz="0" w:space="0" w:color="auto"/>
      </w:divBdr>
    </w:div>
    <w:div w:id="1249148599">
      <w:bodyDiv w:val="1"/>
      <w:marLeft w:val="0"/>
      <w:marRight w:val="0"/>
      <w:marTop w:val="0"/>
      <w:marBottom w:val="0"/>
      <w:divBdr>
        <w:top w:val="none" w:sz="0" w:space="0" w:color="auto"/>
        <w:left w:val="none" w:sz="0" w:space="0" w:color="auto"/>
        <w:bottom w:val="none" w:sz="0" w:space="0" w:color="auto"/>
        <w:right w:val="none" w:sz="0" w:space="0" w:color="auto"/>
      </w:divBdr>
    </w:div>
    <w:div w:id="1285313415">
      <w:bodyDiv w:val="1"/>
      <w:marLeft w:val="0"/>
      <w:marRight w:val="0"/>
      <w:marTop w:val="0"/>
      <w:marBottom w:val="0"/>
      <w:divBdr>
        <w:top w:val="none" w:sz="0" w:space="0" w:color="auto"/>
        <w:left w:val="none" w:sz="0" w:space="0" w:color="auto"/>
        <w:bottom w:val="none" w:sz="0" w:space="0" w:color="auto"/>
        <w:right w:val="none" w:sz="0" w:space="0" w:color="auto"/>
      </w:divBdr>
    </w:div>
    <w:div w:id="1418674341">
      <w:bodyDiv w:val="1"/>
      <w:marLeft w:val="0"/>
      <w:marRight w:val="0"/>
      <w:marTop w:val="0"/>
      <w:marBottom w:val="0"/>
      <w:divBdr>
        <w:top w:val="none" w:sz="0" w:space="0" w:color="auto"/>
        <w:left w:val="none" w:sz="0" w:space="0" w:color="auto"/>
        <w:bottom w:val="none" w:sz="0" w:space="0" w:color="auto"/>
        <w:right w:val="none" w:sz="0" w:space="0" w:color="auto"/>
      </w:divBdr>
    </w:div>
    <w:div w:id="1596134406">
      <w:bodyDiv w:val="1"/>
      <w:marLeft w:val="0"/>
      <w:marRight w:val="0"/>
      <w:marTop w:val="0"/>
      <w:marBottom w:val="0"/>
      <w:divBdr>
        <w:top w:val="none" w:sz="0" w:space="0" w:color="auto"/>
        <w:left w:val="none" w:sz="0" w:space="0" w:color="auto"/>
        <w:bottom w:val="none" w:sz="0" w:space="0" w:color="auto"/>
        <w:right w:val="none" w:sz="0" w:space="0" w:color="auto"/>
      </w:divBdr>
    </w:div>
    <w:div w:id="1607494359">
      <w:bodyDiv w:val="1"/>
      <w:marLeft w:val="0"/>
      <w:marRight w:val="0"/>
      <w:marTop w:val="0"/>
      <w:marBottom w:val="0"/>
      <w:divBdr>
        <w:top w:val="none" w:sz="0" w:space="0" w:color="auto"/>
        <w:left w:val="none" w:sz="0" w:space="0" w:color="auto"/>
        <w:bottom w:val="none" w:sz="0" w:space="0" w:color="auto"/>
        <w:right w:val="none" w:sz="0" w:space="0" w:color="auto"/>
      </w:divBdr>
      <w:divsChild>
        <w:div w:id="512188625">
          <w:marLeft w:val="0"/>
          <w:marRight w:val="0"/>
          <w:marTop w:val="0"/>
          <w:marBottom w:val="0"/>
          <w:divBdr>
            <w:top w:val="none" w:sz="0" w:space="0" w:color="auto"/>
            <w:left w:val="none" w:sz="0" w:space="0" w:color="auto"/>
            <w:bottom w:val="none" w:sz="0" w:space="0" w:color="auto"/>
            <w:right w:val="none" w:sz="0" w:space="0" w:color="auto"/>
          </w:divBdr>
        </w:div>
        <w:div w:id="513803644">
          <w:marLeft w:val="0"/>
          <w:marRight w:val="0"/>
          <w:marTop w:val="0"/>
          <w:marBottom w:val="0"/>
          <w:divBdr>
            <w:top w:val="none" w:sz="0" w:space="0" w:color="auto"/>
            <w:left w:val="none" w:sz="0" w:space="0" w:color="auto"/>
            <w:bottom w:val="none" w:sz="0" w:space="0" w:color="auto"/>
            <w:right w:val="none" w:sz="0" w:space="0" w:color="auto"/>
          </w:divBdr>
        </w:div>
        <w:div w:id="602498107">
          <w:marLeft w:val="0"/>
          <w:marRight w:val="0"/>
          <w:marTop w:val="0"/>
          <w:marBottom w:val="0"/>
          <w:divBdr>
            <w:top w:val="none" w:sz="0" w:space="0" w:color="auto"/>
            <w:left w:val="none" w:sz="0" w:space="0" w:color="auto"/>
            <w:bottom w:val="none" w:sz="0" w:space="0" w:color="auto"/>
            <w:right w:val="none" w:sz="0" w:space="0" w:color="auto"/>
          </w:divBdr>
        </w:div>
        <w:div w:id="775176814">
          <w:marLeft w:val="0"/>
          <w:marRight w:val="0"/>
          <w:marTop w:val="0"/>
          <w:marBottom w:val="0"/>
          <w:divBdr>
            <w:top w:val="none" w:sz="0" w:space="0" w:color="auto"/>
            <w:left w:val="none" w:sz="0" w:space="0" w:color="auto"/>
            <w:bottom w:val="none" w:sz="0" w:space="0" w:color="auto"/>
            <w:right w:val="none" w:sz="0" w:space="0" w:color="auto"/>
          </w:divBdr>
        </w:div>
        <w:div w:id="935133934">
          <w:marLeft w:val="0"/>
          <w:marRight w:val="0"/>
          <w:marTop w:val="0"/>
          <w:marBottom w:val="0"/>
          <w:divBdr>
            <w:top w:val="none" w:sz="0" w:space="0" w:color="auto"/>
            <w:left w:val="none" w:sz="0" w:space="0" w:color="auto"/>
            <w:bottom w:val="none" w:sz="0" w:space="0" w:color="auto"/>
            <w:right w:val="none" w:sz="0" w:space="0" w:color="auto"/>
          </w:divBdr>
        </w:div>
        <w:div w:id="1315182471">
          <w:marLeft w:val="0"/>
          <w:marRight w:val="0"/>
          <w:marTop w:val="0"/>
          <w:marBottom w:val="0"/>
          <w:divBdr>
            <w:top w:val="none" w:sz="0" w:space="0" w:color="auto"/>
            <w:left w:val="none" w:sz="0" w:space="0" w:color="auto"/>
            <w:bottom w:val="none" w:sz="0" w:space="0" w:color="auto"/>
            <w:right w:val="none" w:sz="0" w:space="0" w:color="auto"/>
          </w:divBdr>
        </w:div>
        <w:div w:id="1564635112">
          <w:marLeft w:val="0"/>
          <w:marRight w:val="0"/>
          <w:marTop w:val="0"/>
          <w:marBottom w:val="0"/>
          <w:divBdr>
            <w:top w:val="none" w:sz="0" w:space="0" w:color="auto"/>
            <w:left w:val="none" w:sz="0" w:space="0" w:color="auto"/>
            <w:bottom w:val="none" w:sz="0" w:space="0" w:color="auto"/>
            <w:right w:val="none" w:sz="0" w:space="0" w:color="auto"/>
          </w:divBdr>
        </w:div>
        <w:div w:id="1676765207">
          <w:marLeft w:val="0"/>
          <w:marRight w:val="0"/>
          <w:marTop w:val="0"/>
          <w:marBottom w:val="0"/>
          <w:divBdr>
            <w:top w:val="none" w:sz="0" w:space="0" w:color="auto"/>
            <w:left w:val="none" w:sz="0" w:space="0" w:color="auto"/>
            <w:bottom w:val="none" w:sz="0" w:space="0" w:color="auto"/>
            <w:right w:val="none" w:sz="0" w:space="0" w:color="auto"/>
          </w:divBdr>
        </w:div>
        <w:div w:id="1682858692">
          <w:marLeft w:val="0"/>
          <w:marRight w:val="0"/>
          <w:marTop w:val="0"/>
          <w:marBottom w:val="0"/>
          <w:divBdr>
            <w:top w:val="none" w:sz="0" w:space="0" w:color="auto"/>
            <w:left w:val="none" w:sz="0" w:space="0" w:color="auto"/>
            <w:bottom w:val="none" w:sz="0" w:space="0" w:color="auto"/>
            <w:right w:val="none" w:sz="0" w:space="0" w:color="auto"/>
          </w:divBdr>
        </w:div>
        <w:div w:id="1753432010">
          <w:marLeft w:val="0"/>
          <w:marRight w:val="0"/>
          <w:marTop w:val="0"/>
          <w:marBottom w:val="0"/>
          <w:divBdr>
            <w:top w:val="none" w:sz="0" w:space="0" w:color="auto"/>
            <w:left w:val="none" w:sz="0" w:space="0" w:color="auto"/>
            <w:bottom w:val="none" w:sz="0" w:space="0" w:color="auto"/>
            <w:right w:val="none" w:sz="0" w:space="0" w:color="auto"/>
          </w:divBdr>
        </w:div>
      </w:divsChild>
    </w:div>
    <w:div w:id="1627345699">
      <w:bodyDiv w:val="1"/>
      <w:marLeft w:val="0"/>
      <w:marRight w:val="0"/>
      <w:marTop w:val="0"/>
      <w:marBottom w:val="0"/>
      <w:divBdr>
        <w:top w:val="none" w:sz="0" w:space="0" w:color="auto"/>
        <w:left w:val="none" w:sz="0" w:space="0" w:color="auto"/>
        <w:bottom w:val="none" w:sz="0" w:space="0" w:color="auto"/>
        <w:right w:val="none" w:sz="0" w:space="0" w:color="auto"/>
      </w:divBdr>
    </w:div>
    <w:div w:id="1640260220">
      <w:bodyDiv w:val="1"/>
      <w:marLeft w:val="0"/>
      <w:marRight w:val="0"/>
      <w:marTop w:val="0"/>
      <w:marBottom w:val="0"/>
      <w:divBdr>
        <w:top w:val="none" w:sz="0" w:space="0" w:color="auto"/>
        <w:left w:val="none" w:sz="0" w:space="0" w:color="auto"/>
        <w:bottom w:val="none" w:sz="0" w:space="0" w:color="auto"/>
        <w:right w:val="none" w:sz="0" w:space="0" w:color="auto"/>
      </w:divBdr>
    </w:div>
    <w:div w:id="1666205898">
      <w:bodyDiv w:val="1"/>
      <w:marLeft w:val="0"/>
      <w:marRight w:val="0"/>
      <w:marTop w:val="0"/>
      <w:marBottom w:val="0"/>
      <w:divBdr>
        <w:top w:val="none" w:sz="0" w:space="0" w:color="auto"/>
        <w:left w:val="none" w:sz="0" w:space="0" w:color="auto"/>
        <w:bottom w:val="none" w:sz="0" w:space="0" w:color="auto"/>
        <w:right w:val="none" w:sz="0" w:space="0" w:color="auto"/>
      </w:divBdr>
    </w:div>
    <w:div w:id="2059430701">
      <w:bodyDiv w:val="1"/>
      <w:marLeft w:val="0"/>
      <w:marRight w:val="0"/>
      <w:marTop w:val="0"/>
      <w:marBottom w:val="0"/>
      <w:divBdr>
        <w:top w:val="none" w:sz="0" w:space="0" w:color="auto"/>
        <w:left w:val="none" w:sz="0" w:space="0" w:color="auto"/>
        <w:bottom w:val="none" w:sz="0" w:space="0" w:color="auto"/>
        <w:right w:val="none" w:sz="0" w:space="0" w:color="auto"/>
      </w:divBdr>
    </w:div>
    <w:div w:id="210522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D63A2-7776-49F9-811E-003CE9CB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14615</Words>
  <Characters>80386</Characters>
  <Application>Microsoft Office Word</Application>
  <DocSecurity>0</DocSecurity>
  <Lines>669</Lines>
  <Paragraphs>189</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94812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RaulPonce</dc:creator>
  <cp:keywords/>
  <cp:lastModifiedBy>Control Presupuestal</cp:lastModifiedBy>
  <cp:revision>2</cp:revision>
  <cp:lastPrinted>2016-06-03T07:30:00Z</cp:lastPrinted>
  <dcterms:created xsi:type="dcterms:W3CDTF">2020-01-24T19:48:00Z</dcterms:created>
  <dcterms:modified xsi:type="dcterms:W3CDTF">2020-01-24T19:48:00Z</dcterms:modified>
</cp:coreProperties>
</file>